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ind w:firstLine="2446" w:firstLineChars="1160"/>
        <w:rPr>
          <w:rFonts w:ascii="宋体"/>
          <w:b/>
          <w:szCs w:val="21"/>
        </w:rPr>
      </w:pPr>
      <w:r>
        <w:rPr>
          <w:rFonts w:hint="eastAsia" w:ascii="宋体" w:hAnsi="宋体"/>
          <w:b/>
          <w:szCs w:val="21"/>
        </w:rPr>
        <w:t>《大兴安岭职业学院</w:t>
      </w:r>
      <w:r>
        <w:rPr>
          <w:rFonts w:ascii="宋体" w:hAnsi="宋体"/>
          <w:b/>
          <w:szCs w:val="21"/>
        </w:rPr>
        <w:t>202</w:t>
      </w:r>
      <w:r>
        <w:rPr>
          <w:rFonts w:hint="eastAsia" w:ascii="宋体" w:hAnsi="宋体"/>
          <w:b/>
          <w:szCs w:val="21"/>
          <w:lang w:val="en-US" w:eastAsia="zh-CN"/>
        </w:rPr>
        <w:t>1</w:t>
      </w:r>
      <w:r>
        <w:rPr>
          <w:rFonts w:hint="eastAsia" w:ascii="宋体" w:hAnsi="宋体"/>
          <w:b/>
          <w:szCs w:val="21"/>
        </w:rPr>
        <w:t>年高职扩招专项考试招生章程》</w:t>
      </w:r>
    </w:p>
    <w:p>
      <w:pPr>
        <w:adjustRightInd w:val="0"/>
        <w:snapToGrid w:val="0"/>
        <w:ind w:firstLine="2424" w:firstLineChars="1150"/>
        <w:rPr>
          <w:rFonts w:ascii="宋体"/>
          <w:b/>
          <w:szCs w:val="21"/>
        </w:rPr>
      </w:pPr>
    </w:p>
    <w:p>
      <w:pPr>
        <w:adjustRightInd w:val="0"/>
        <w:snapToGrid w:val="0"/>
        <w:rPr>
          <w:rFonts w:ascii="宋体"/>
          <w:b/>
          <w:szCs w:val="21"/>
        </w:rPr>
      </w:pPr>
      <w:r>
        <w:rPr>
          <w:rFonts w:hint="eastAsia" w:ascii="宋体" w:hAnsi="宋体"/>
          <w:b/>
          <w:szCs w:val="21"/>
        </w:rPr>
        <w:t>省招办：</w:t>
      </w:r>
    </w:p>
    <w:p>
      <w:pPr>
        <w:adjustRightInd w:val="0"/>
        <w:snapToGrid w:val="0"/>
        <w:ind w:firstLine="420" w:firstLineChars="200"/>
        <w:rPr>
          <w:rFonts w:ascii="宋体"/>
          <w:b/>
          <w:szCs w:val="21"/>
        </w:rPr>
      </w:pPr>
      <w:r>
        <w:rPr>
          <w:rFonts w:hint="eastAsia" w:ascii="宋体" w:hAnsi="宋体"/>
          <w:szCs w:val="21"/>
        </w:rPr>
        <w:t>根据黑</w:t>
      </w:r>
      <w:r>
        <w:rPr>
          <w:rFonts w:hint="eastAsia" w:ascii="宋体" w:hAnsi="宋体"/>
          <w:szCs w:val="21"/>
          <w:lang w:eastAsia="zh-CN"/>
        </w:rPr>
        <w:t>龙江省招生考试委员会办公室</w:t>
      </w:r>
      <w:r>
        <w:rPr>
          <w:rFonts w:hint="eastAsia" w:ascii="宋体" w:hAnsi="宋体"/>
          <w:szCs w:val="21"/>
        </w:rPr>
        <w:t>关于</w:t>
      </w:r>
      <w:r>
        <w:rPr>
          <w:rFonts w:hint="eastAsia" w:ascii="宋体" w:hAnsi="宋体"/>
          <w:szCs w:val="21"/>
          <w:lang w:eastAsia="zh-CN"/>
        </w:rPr>
        <w:t>印发</w:t>
      </w:r>
      <w:r>
        <w:rPr>
          <w:rFonts w:hint="eastAsia" w:ascii="宋体" w:hAnsi="宋体"/>
          <w:b/>
          <w:bCs/>
          <w:szCs w:val="21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Cs w:val="21"/>
          <w:lang w:eastAsia="zh-CN"/>
        </w:rPr>
        <w:t>《</w:t>
      </w:r>
      <w:r>
        <w:rPr>
          <w:rFonts w:ascii="宋体" w:hAnsi="宋体"/>
          <w:szCs w:val="21"/>
        </w:rPr>
        <w:t>202</w:t>
      </w:r>
      <w:r>
        <w:rPr>
          <w:rFonts w:hint="eastAsia" w:ascii="宋体" w:hAnsi="宋体"/>
          <w:szCs w:val="21"/>
          <w:lang w:val="en-US" w:eastAsia="zh-CN"/>
        </w:rPr>
        <w:t>1</w:t>
      </w:r>
      <w:r>
        <w:rPr>
          <w:rFonts w:hint="eastAsia" w:ascii="宋体" w:hAnsi="宋体"/>
          <w:szCs w:val="21"/>
        </w:rPr>
        <w:t>年黑龙江省高职扩招专项工作实施办法</w:t>
      </w:r>
      <w:r>
        <w:rPr>
          <w:rFonts w:hint="eastAsia" w:ascii="宋体" w:hAnsi="宋体"/>
          <w:b/>
          <w:bCs/>
          <w:szCs w:val="21"/>
          <w:lang w:eastAsia="zh-CN"/>
        </w:rPr>
        <w:t>》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>的通知</w:t>
      </w:r>
      <w:r>
        <w:rPr>
          <w:rFonts w:hint="eastAsia" w:ascii="宋体" w:hAnsi="宋体"/>
          <w:szCs w:val="21"/>
          <w:lang w:eastAsia="zh-CN"/>
        </w:rPr>
        <w:t>以及</w:t>
      </w:r>
      <w:r>
        <w:rPr>
          <w:rFonts w:hint="eastAsia" w:ascii="宋体" w:hAnsi="宋体"/>
          <w:szCs w:val="21"/>
        </w:rPr>
        <w:t>黑教联【</w:t>
      </w:r>
      <w:r>
        <w:rPr>
          <w:rFonts w:ascii="宋体" w:hAnsi="宋体"/>
          <w:szCs w:val="21"/>
        </w:rPr>
        <w:t>202</w:t>
      </w:r>
      <w:r>
        <w:rPr>
          <w:rFonts w:hint="eastAsia" w:ascii="宋体" w:hAnsi="宋体"/>
          <w:szCs w:val="21"/>
          <w:lang w:val="en-US" w:eastAsia="zh-CN"/>
        </w:rPr>
        <w:t>1</w:t>
      </w:r>
      <w:r>
        <w:rPr>
          <w:rFonts w:hint="eastAsia" w:ascii="宋体" w:hAnsi="宋体"/>
          <w:szCs w:val="21"/>
        </w:rPr>
        <w:t>】</w:t>
      </w:r>
      <w:r>
        <w:rPr>
          <w:rFonts w:hint="eastAsia" w:ascii="宋体" w:hAnsi="宋体"/>
          <w:szCs w:val="21"/>
          <w:lang w:val="en-US" w:eastAsia="zh-CN"/>
        </w:rPr>
        <w:t>43</w:t>
      </w:r>
      <w:r>
        <w:rPr>
          <w:rFonts w:hint="eastAsia" w:ascii="宋体" w:hAnsi="宋体"/>
          <w:szCs w:val="21"/>
        </w:rPr>
        <w:t>号</w:t>
      </w:r>
      <w:r>
        <w:rPr>
          <w:rFonts w:hint="eastAsia" w:ascii="宋体" w:hAnsi="宋体"/>
          <w:b/>
          <w:bCs/>
          <w:szCs w:val="21"/>
        </w:rPr>
        <w:t>《</w:t>
      </w:r>
      <w:r>
        <w:rPr>
          <w:rFonts w:hint="eastAsia" w:ascii="宋体" w:hAnsi="宋体"/>
          <w:szCs w:val="21"/>
        </w:rPr>
        <w:t>黑龙江省教育厅等</w:t>
      </w:r>
      <w:r>
        <w:rPr>
          <w:rFonts w:hint="eastAsia" w:ascii="宋体" w:hAnsi="宋体"/>
          <w:szCs w:val="21"/>
          <w:lang w:eastAsia="zh-CN"/>
        </w:rPr>
        <w:t>八</w:t>
      </w:r>
      <w:r>
        <w:rPr>
          <w:rFonts w:hint="eastAsia" w:ascii="宋体" w:hAnsi="宋体"/>
          <w:szCs w:val="21"/>
        </w:rPr>
        <w:t>部门关于做好</w:t>
      </w:r>
      <w:r>
        <w:rPr>
          <w:rFonts w:ascii="宋体" w:hAnsi="宋体"/>
          <w:szCs w:val="21"/>
        </w:rPr>
        <w:t>202</w:t>
      </w:r>
      <w:r>
        <w:rPr>
          <w:rFonts w:hint="eastAsia" w:ascii="宋体" w:hAnsi="宋体"/>
          <w:szCs w:val="21"/>
          <w:lang w:val="en-US" w:eastAsia="zh-CN"/>
        </w:rPr>
        <w:t>1</w:t>
      </w:r>
      <w:r>
        <w:rPr>
          <w:rFonts w:hint="eastAsia" w:ascii="宋体" w:hAnsi="宋体"/>
          <w:szCs w:val="21"/>
        </w:rPr>
        <w:t>年高职扩招专项工作的通知</w:t>
      </w:r>
      <w:r>
        <w:rPr>
          <w:rFonts w:hint="eastAsia" w:ascii="宋体" w:hAnsi="宋体"/>
          <w:b/>
          <w:bCs/>
          <w:szCs w:val="21"/>
        </w:rPr>
        <w:t>》</w:t>
      </w:r>
      <w:r>
        <w:rPr>
          <w:rFonts w:hint="eastAsia" w:ascii="宋体" w:hAnsi="宋体"/>
          <w:szCs w:val="21"/>
        </w:rPr>
        <w:t>的文件精神和工作要求，现将</w:t>
      </w:r>
      <w:r>
        <w:rPr>
          <w:rFonts w:hint="eastAsia" w:ascii="宋体" w:hAnsi="宋体"/>
          <w:b/>
          <w:bCs/>
          <w:szCs w:val="21"/>
        </w:rPr>
        <w:t>《</w:t>
      </w:r>
      <w:r>
        <w:rPr>
          <w:rFonts w:hint="eastAsia" w:ascii="宋体" w:hAnsi="宋体"/>
          <w:szCs w:val="21"/>
        </w:rPr>
        <w:t>大兴安岭职业学院</w:t>
      </w:r>
      <w:r>
        <w:rPr>
          <w:rFonts w:ascii="宋体" w:hAnsi="宋体"/>
          <w:szCs w:val="21"/>
        </w:rPr>
        <w:t>202</w:t>
      </w:r>
      <w:r>
        <w:rPr>
          <w:rFonts w:hint="eastAsia" w:ascii="宋体" w:hAnsi="宋体"/>
          <w:szCs w:val="21"/>
          <w:lang w:val="en-US" w:eastAsia="zh-CN"/>
        </w:rPr>
        <w:t>1</w:t>
      </w:r>
      <w:r>
        <w:rPr>
          <w:rFonts w:hint="eastAsia" w:ascii="宋体" w:hAnsi="宋体"/>
          <w:szCs w:val="21"/>
        </w:rPr>
        <w:t>年高职扩招专项考试招生章程</w:t>
      </w:r>
      <w:r>
        <w:rPr>
          <w:rFonts w:hint="eastAsia" w:ascii="宋体" w:hAnsi="宋体"/>
          <w:b/>
          <w:bCs/>
          <w:szCs w:val="21"/>
        </w:rPr>
        <w:t>》</w:t>
      </w:r>
      <w:r>
        <w:rPr>
          <w:rFonts w:hint="eastAsia" w:ascii="宋体" w:hAnsi="宋体"/>
          <w:szCs w:val="21"/>
        </w:rPr>
        <w:t>进行上报，内容如下。</w:t>
      </w:r>
    </w:p>
    <w:p>
      <w:pPr>
        <w:adjustRightInd w:val="0"/>
        <w:snapToGrid w:val="0"/>
        <w:ind w:firstLine="422" w:firstLineChars="200"/>
        <w:rPr>
          <w:rFonts w:ascii="宋体"/>
          <w:b/>
          <w:szCs w:val="21"/>
        </w:rPr>
      </w:pPr>
    </w:p>
    <w:p>
      <w:pPr>
        <w:adjustRightInd w:val="0"/>
        <w:snapToGrid w:val="0"/>
        <w:ind w:firstLine="422" w:firstLineChars="200"/>
        <w:rPr>
          <w:rFonts w:ascii="宋体"/>
          <w:b/>
          <w:szCs w:val="21"/>
        </w:rPr>
      </w:pPr>
    </w:p>
    <w:p>
      <w:pPr>
        <w:adjustRightInd w:val="0"/>
        <w:snapToGrid w:val="0"/>
        <w:ind w:firstLine="422" w:firstLineChars="200"/>
        <w:rPr>
          <w:rFonts w:ascii="宋体"/>
          <w:b/>
          <w:szCs w:val="21"/>
        </w:rPr>
      </w:pPr>
    </w:p>
    <w:p>
      <w:pPr>
        <w:adjustRightInd w:val="0"/>
        <w:snapToGrid w:val="0"/>
        <w:ind w:firstLine="422" w:firstLineChars="200"/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 xml:space="preserve">                                                               </w:t>
      </w:r>
      <w:r>
        <w:rPr>
          <w:rFonts w:hint="eastAsia" w:ascii="宋体" w:hAnsi="宋体"/>
          <w:b/>
          <w:szCs w:val="21"/>
          <w:lang w:val="en-US" w:eastAsia="zh-CN"/>
        </w:rPr>
        <w:t xml:space="preserve"> </w:t>
      </w:r>
      <w:r>
        <w:rPr>
          <w:rFonts w:ascii="宋体" w:hAnsi="宋体"/>
          <w:b/>
          <w:szCs w:val="21"/>
        </w:rPr>
        <w:t xml:space="preserve"> </w:t>
      </w:r>
      <w:r>
        <w:rPr>
          <w:rFonts w:hint="eastAsia" w:ascii="宋体" w:hAnsi="宋体"/>
          <w:b/>
          <w:szCs w:val="21"/>
        </w:rPr>
        <w:t>大兴安岭职业学院</w:t>
      </w:r>
    </w:p>
    <w:p>
      <w:pPr>
        <w:adjustRightInd w:val="0"/>
        <w:snapToGrid w:val="0"/>
        <w:ind w:firstLine="422" w:firstLineChars="200"/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 xml:space="preserve">                                                                 202</w:t>
      </w:r>
      <w:r>
        <w:rPr>
          <w:rFonts w:hint="eastAsia" w:ascii="宋体" w:hAnsi="宋体"/>
          <w:b/>
          <w:szCs w:val="21"/>
          <w:lang w:val="en-US" w:eastAsia="zh-CN"/>
        </w:rPr>
        <w:t>1</w:t>
      </w:r>
      <w:r>
        <w:rPr>
          <w:rFonts w:hint="eastAsia" w:ascii="宋体" w:hAnsi="宋体"/>
          <w:b/>
          <w:szCs w:val="21"/>
        </w:rPr>
        <w:t>年</w:t>
      </w:r>
      <w:r>
        <w:rPr>
          <w:rFonts w:ascii="宋体" w:hAnsi="宋体"/>
          <w:b/>
          <w:szCs w:val="21"/>
        </w:rPr>
        <w:t>1</w:t>
      </w:r>
      <w:r>
        <w:rPr>
          <w:rFonts w:hint="eastAsia" w:ascii="宋体" w:hAnsi="宋体"/>
          <w:b/>
          <w:szCs w:val="21"/>
          <w:lang w:val="en-US" w:eastAsia="zh-CN"/>
        </w:rPr>
        <w:t>0</w:t>
      </w:r>
      <w:r>
        <w:rPr>
          <w:rFonts w:hint="eastAsia" w:ascii="宋体" w:hAnsi="宋体"/>
          <w:b/>
          <w:szCs w:val="21"/>
        </w:rPr>
        <w:t>月</w:t>
      </w:r>
      <w:r>
        <w:rPr>
          <w:rFonts w:hint="eastAsia" w:ascii="宋体" w:hAnsi="宋体"/>
          <w:b/>
          <w:szCs w:val="21"/>
          <w:lang w:val="en-US" w:eastAsia="zh-CN"/>
        </w:rPr>
        <w:t>11</w:t>
      </w:r>
      <w:r>
        <w:rPr>
          <w:rFonts w:hint="eastAsia" w:ascii="宋体" w:hAnsi="宋体"/>
          <w:b/>
          <w:szCs w:val="21"/>
        </w:rPr>
        <w:t>日</w:t>
      </w:r>
    </w:p>
    <w:p>
      <w:pPr>
        <w:adjustRightInd w:val="0"/>
        <w:snapToGrid w:val="0"/>
        <w:jc w:val="center"/>
        <w:rPr>
          <w:rFonts w:ascii="宋体"/>
          <w:b/>
          <w:szCs w:val="21"/>
        </w:rPr>
      </w:pPr>
    </w:p>
    <w:p>
      <w:pPr>
        <w:adjustRightInd w:val="0"/>
        <w:snapToGrid w:val="0"/>
        <w:jc w:val="center"/>
        <w:rPr>
          <w:rFonts w:hint="eastAsia" w:ascii="宋体" w:hAnsi="宋体"/>
          <w:b/>
          <w:szCs w:val="21"/>
        </w:rPr>
      </w:pPr>
    </w:p>
    <w:p>
      <w:pPr>
        <w:adjustRightInd w:val="0"/>
        <w:snapToGrid w:val="0"/>
        <w:jc w:val="center"/>
        <w:rPr>
          <w:rFonts w:hint="eastAsia" w:ascii="宋体" w:hAnsi="宋体"/>
          <w:b/>
          <w:szCs w:val="21"/>
        </w:rPr>
      </w:pPr>
    </w:p>
    <w:p>
      <w:pPr>
        <w:adjustRightInd w:val="0"/>
        <w:snapToGrid w:val="0"/>
        <w:jc w:val="center"/>
        <w:rPr>
          <w:rFonts w:ascii="宋体"/>
          <w:b/>
          <w:szCs w:val="21"/>
        </w:rPr>
      </w:pPr>
      <w:r>
        <w:rPr>
          <w:rFonts w:hint="eastAsia" w:ascii="宋体" w:hAnsi="宋体"/>
          <w:b/>
          <w:szCs w:val="21"/>
        </w:rPr>
        <w:t>大兴安岭职业学院</w:t>
      </w:r>
      <w:r>
        <w:rPr>
          <w:rFonts w:ascii="宋体" w:hAnsi="宋体"/>
          <w:b/>
          <w:szCs w:val="21"/>
        </w:rPr>
        <w:t>202</w:t>
      </w:r>
      <w:r>
        <w:rPr>
          <w:rFonts w:hint="eastAsia" w:ascii="宋体" w:hAnsi="宋体"/>
          <w:b/>
          <w:szCs w:val="21"/>
          <w:lang w:val="en-US" w:eastAsia="zh-CN"/>
        </w:rPr>
        <w:t>1</w:t>
      </w:r>
      <w:r>
        <w:rPr>
          <w:rFonts w:hint="eastAsia" w:ascii="宋体" w:hAnsi="宋体"/>
          <w:b/>
          <w:szCs w:val="21"/>
        </w:rPr>
        <w:t>年高职扩招专项考试招生章程</w:t>
      </w:r>
    </w:p>
    <w:p>
      <w:pPr>
        <w:adjustRightInd w:val="0"/>
        <w:snapToGrid w:val="0"/>
        <w:ind w:firstLine="417" w:firstLineChars="198"/>
        <w:jc w:val="center"/>
        <w:rPr>
          <w:rFonts w:ascii="宋体"/>
          <w:b/>
          <w:szCs w:val="21"/>
        </w:rPr>
      </w:pPr>
    </w:p>
    <w:p>
      <w:pPr>
        <w:adjustRightInd w:val="0"/>
        <w:snapToGrid w:val="0"/>
        <w:ind w:firstLine="413" w:firstLineChars="196"/>
        <w:rPr>
          <w:rFonts w:hint="eastAsia" w:ascii="宋体" w:hAnsi="宋体"/>
          <w:b/>
          <w:szCs w:val="21"/>
        </w:rPr>
      </w:pPr>
    </w:p>
    <w:p>
      <w:pPr>
        <w:adjustRightInd w:val="0"/>
        <w:snapToGrid w:val="0"/>
        <w:ind w:firstLine="422" w:firstLineChars="200"/>
        <w:rPr>
          <w:rFonts w:ascii="宋体"/>
          <w:b/>
          <w:szCs w:val="21"/>
        </w:rPr>
      </w:pPr>
      <w:r>
        <w:rPr>
          <w:rFonts w:hint="eastAsia" w:ascii="宋体" w:hAnsi="宋体"/>
          <w:b/>
          <w:szCs w:val="21"/>
        </w:rPr>
        <w:t>院校名称：</w:t>
      </w:r>
    </w:p>
    <w:p>
      <w:pPr>
        <w:adjustRightInd w:val="0"/>
        <w:snapToGrid w:val="0"/>
        <w:ind w:firstLine="415" w:firstLineChars="198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大兴安岭职业学院</w:t>
      </w:r>
    </w:p>
    <w:p>
      <w:pPr>
        <w:adjustRightInd w:val="0"/>
        <w:snapToGrid w:val="0"/>
        <w:ind w:firstLine="413" w:firstLineChars="196"/>
        <w:rPr>
          <w:rFonts w:ascii="宋体"/>
          <w:b/>
          <w:szCs w:val="21"/>
        </w:rPr>
      </w:pPr>
      <w:r>
        <w:rPr>
          <w:rFonts w:hint="eastAsia" w:ascii="宋体" w:hAnsi="宋体"/>
          <w:b/>
          <w:szCs w:val="21"/>
        </w:rPr>
        <w:t>院校地址：</w:t>
      </w:r>
    </w:p>
    <w:p>
      <w:pPr>
        <w:adjustRightInd w:val="0"/>
        <w:snapToGrid w:val="0"/>
        <w:ind w:firstLine="415" w:firstLineChars="198"/>
        <w:jc w:val="left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黑龙江省大兴安岭地区加格达奇区机场路</w:t>
      </w:r>
      <w:r>
        <w:rPr>
          <w:rFonts w:ascii="宋体" w:hAnsi="宋体"/>
          <w:szCs w:val="21"/>
        </w:rPr>
        <w:t>18</w:t>
      </w:r>
      <w:r>
        <w:rPr>
          <w:rFonts w:hint="eastAsia" w:ascii="宋体" w:hAnsi="宋体"/>
          <w:szCs w:val="21"/>
        </w:rPr>
        <w:t>号</w:t>
      </w:r>
    </w:p>
    <w:p>
      <w:pPr>
        <w:adjustRightInd w:val="0"/>
        <w:snapToGrid w:val="0"/>
        <w:ind w:firstLine="413" w:firstLineChars="196"/>
        <w:rPr>
          <w:rFonts w:ascii="宋体"/>
          <w:b/>
          <w:szCs w:val="21"/>
        </w:rPr>
      </w:pPr>
      <w:r>
        <w:rPr>
          <w:rFonts w:hint="eastAsia" w:ascii="宋体" w:hAnsi="宋体"/>
          <w:b/>
          <w:szCs w:val="21"/>
        </w:rPr>
        <w:t>办学性质：</w:t>
      </w:r>
    </w:p>
    <w:p>
      <w:pPr>
        <w:adjustRightInd w:val="0"/>
        <w:snapToGrid w:val="0"/>
        <w:ind w:firstLine="415" w:firstLineChars="198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公办综合性普通高等学校</w:t>
      </w:r>
    </w:p>
    <w:p>
      <w:pPr>
        <w:adjustRightInd w:val="0"/>
        <w:snapToGrid w:val="0"/>
        <w:ind w:firstLine="413" w:firstLineChars="196"/>
        <w:rPr>
          <w:rFonts w:ascii="宋体"/>
          <w:b/>
          <w:szCs w:val="21"/>
        </w:rPr>
      </w:pPr>
      <w:r>
        <w:rPr>
          <w:rFonts w:hint="eastAsia" w:ascii="宋体" w:hAnsi="宋体"/>
          <w:b/>
          <w:szCs w:val="21"/>
        </w:rPr>
        <w:t>办学层次：</w:t>
      </w:r>
    </w:p>
    <w:p>
      <w:pPr>
        <w:adjustRightInd w:val="0"/>
        <w:snapToGrid w:val="0"/>
        <w:ind w:firstLine="415" w:firstLineChars="198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高职专科</w:t>
      </w:r>
    </w:p>
    <w:p>
      <w:pPr>
        <w:adjustRightInd w:val="0"/>
        <w:snapToGrid w:val="0"/>
        <w:ind w:firstLine="413" w:firstLineChars="196"/>
        <w:rPr>
          <w:rFonts w:ascii="宋体"/>
          <w:b/>
          <w:szCs w:val="21"/>
        </w:rPr>
      </w:pPr>
      <w:r>
        <w:rPr>
          <w:rFonts w:hint="eastAsia" w:ascii="宋体" w:hAnsi="宋体"/>
          <w:b/>
          <w:szCs w:val="21"/>
        </w:rPr>
        <w:t>学习形式：</w:t>
      </w:r>
    </w:p>
    <w:p>
      <w:pPr>
        <w:adjustRightInd w:val="0"/>
        <w:snapToGrid w:val="0"/>
        <w:ind w:firstLine="415" w:firstLineChars="198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普通全日制</w:t>
      </w:r>
    </w:p>
    <w:p>
      <w:pPr>
        <w:adjustRightInd w:val="0"/>
        <w:snapToGrid w:val="0"/>
        <w:ind w:firstLine="413" w:firstLineChars="196"/>
        <w:rPr>
          <w:rFonts w:ascii="宋体"/>
          <w:b/>
          <w:szCs w:val="21"/>
        </w:rPr>
      </w:pPr>
      <w:r>
        <w:rPr>
          <w:rFonts w:hint="eastAsia" w:ascii="宋体" w:hAnsi="宋体"/>
          <w:b/>
          <w:szCs w:val="21"/>
        </w:rPr>
        <w:t>学院概况：</w:t>
      </w:r>
    </w:p>
    <w:p>
      <w:pPr>
        <w:adjustRightInd w:val="0"/>
        <w:snapToGrid w:val="0"/>
        <w:ind w:firstLine="420" w:firstLineChars="20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国家公办、独立设置的大兴安岭职业学院是黑龙江省骨干高等职业院校，是中国最北的高校，也是大兴安岭地区唯一的高等学府。</w:t>
      </w:r>
    </w:p>
    <w:p>
      <w:pPr>
        <w:adjustRightInd w:val="0"/>
        <w:snapToGrid w:val="0"/>
        <w:ind w:firstLine="422" w:firstLineChars="200"/>
        <w:rPr>
          <w:rFonts w:ascii="宋体"/>
          <w:b/>
          <w:szCs w:val="21"/>
        </w:rPr>
      </w:pPr>
      <w:r>
        <w:rPr>
          <w:rFonts w:hint="eastAsia" w:ascii="宋体"/>
          <w:b/>
          <w:szCs w:val="21"/>
        </w:rPr>
        <w:t>毕业证书：</w:t>
      </w:r>
    </w:p>
    <w:p>
      <w:pPr>
        <w:adjustRightInd w:val="0"/>
        <w:snapToGrid w:val="0"/>
        <w:ind w:firstLine="420" w:firstLineChars="200"/>
        <w:rPr>
          <w:rFonts w:ascii="宋体"/>
          <w:szCs w:val="21"/>
        </w:rPr>
      </w:pPr>
      <w:r>
        <w:rPr>
          <w:rFonts w:hint="eastAsia" w:ascii="宋体"/>
          <w:szCs w:val="21"/>
        </w:rPr>
        <w:t>学生毕业成绩合格，获得国家教育部电子注册的普通高等教育高职（专科）大兴安岭职业学院毕业证书。</w:t>
      </w:r>
    </w:p>
    <w:p>
      <w:pPr>
        <w:adjustRightInd w:val="0"/>
        <w:snapToGrid w:val="0"/>
        <w:ind w:firstLine="413" w:firstLineChars="196"/>
        <w:rPr>
          <w:rFonts w:asci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招生对象</w:t>
      </w:r>
      <w:r>
        <w:rPr>
          <w:rFonts w:ascii="宋体" w:hAnsi="宋体"/>
          <w:b/>
          <w:bCs/>
          <w:szCs w:val="21"/>
        </w:rPr>
        <w:t>:</w:t>
      </w:r>
    </w:p>
    <w:p>
      <w:pPr>
        <w:adjustRightInd w:val="0"/>
        <w:snapToGrid w:val="0"/>
        <w:ind w:firstLine="42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符合《</w:t>
      </w:r>
      <w:r>
        <w:rPr>
          <w:rFonts w:ascii="宋体" w:hAnsi="宋体"/>
          <w:szCs w:val="21"/>
        </w:rPr>
        <w:t>202</w:t>
      </w:r>
      <w:r>
        <w:rPr>
          <w:rFonts w:hint="eastAsia" w:ascii="宋体" w:hAnsi="宋体"/>
          <w:szCs w:val="21"/>
          <w:lang w:val="en-US" w:eastAsia="zh-CN"/>
        </w:rPr>
        <w:t>1</w:t>
      </w:r>
      <w:r>
        <w:rPr>
          <w:rFonts w:hint="eastAsia" w:ascii="宋体" w:hAnsi="宋体"/>
          <w:szCs w:val="21"/>
        </w:rPr>
        <w:t>年黑龙江省高职扩招专项考试招生工作实施办法》报名条件的考生，均可报名。</w:t>
      </w:r>
    </w:p>
    <w:p>
      <w:pPr>
        <w:adjustRightInd w:val="0"/>
        <w:snapToGrid w:val="0"/>
        <w:ind w:firstLine="413" w:firstLineChars="196"/>
        <w:rPr>
          <w:rFonts w:hint="eastAsia" w:ascii="宋体" w:hAnsi="宋体"/>
          <w:b/>
          <w:szCs w:val="21"/>
        </w:rPr>
      </w:pPr>
    </w:p>
    <w:p>
      <w:pPr>
        <w:adjustRightInd w:val="0"/>
        <w:snapToGrid w:val="0"/>
        <w:ind w:firstLine="413" w:firstLineChars="196"/>
        <w:rPr>
          <w:rFonts w:ascii="宋体"/>
          <w:b/>
          <w:szCs w:val="21"/>
        </w:rPr>
      </w:pPr>
      <w:r>
        <w:rPr>
          <w:rFonts w:hint="eastAsia" w:ascii="宋体" w:hAnsi="宋体"/>
          <w:b/>
          <w:szCs w:val="21"/>
        </w:rPr>
        <w:t>招生专业及学费（以省教育厅或财政厅、发改委最终批复为准）</w:t>
      </w:r>
      <w:r>
        <w:rPr>
          <w:rFonts w:ascii="宋体" w:hAnsi="宋体"/>
          <w:b/>
          <w:szCs w:val="21"/>
        </w:rPr>
        <w:t>:</w:t>
      </w:r>
    </w:p>
    <w:tbl>
      <w:tblPr>
        <w:tblStyle w:val="6"/>
        <w:tblW w:w="0" w:type="auto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2815"/>
        <w:gridCol w:w="1145"/>
        <w:gridCol w:w="2160"/>
        <w:gridCol w:w="2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20" w:type="dxa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/>
                <w:b/>
                <w:szCs w:val="21"/>
              </w:rPr>
              <w:t>序号</w:t>
            </w:r>
          </w:p>
        </w:tc>
        <w:tc>
          <w:tcPr>
            <w:tcW w:w="2815" w:type="dxa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/>
                <w:b/>
                <w:szCs w:val="21"/>
              </w:rPr>
              <w:t>专业名称</w:t>
            </w:r>
          </w:p>
        </w:tc>
        <w:tc>
          <w:tcPr>
            <w:tcW w:w="1145" w:type="dxa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/>
                <w:b/>
                <w:szCs w:val="21"/>
              </w:rPr>
              <w:t>学制</w:t>
            </w:r>
          </w:p>
        </w:tc>
        <w:tc>
          <w:tcPr>
            <w:tcW w:w="2160" w:type="dxa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/>
                <w:b/>
                <w:szCs w:val="21"/>
              </w:rPr>
              <w:t>学费（元</w:t>
            </w:r>
            <w:r>
              <w:rPr>
                <w:rFonts w:ascii="宋体"/>
                <w:b/>
                <w:szCs w:val="21"/>
              </w:rPr>
              <w:t>/</w:t>
            </w:r>
            <w:r>
              <w:rPr>
                <w:rFonts w:hint="eastAsia" w:ascii="宋体"/>
                <w:b/>
                <w:szCs w:val="21"/>
              </w:rPr>
              <w:t>年）</w:t>
            </w:r>
          </w:p>
        </w:tc>
        <w:tc>
          <w:tcPr>
            <w:tcW w:w="2160" w:type="dxa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72" w:hRule="atLeast"/>
        </w:trPr>
        <w:tc>
          <w:tcPr>
            <w:tcW w:w="720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/>
                <w:b/>
                <w:szCs w:val="21"/>
                <w:lang w:val="en-US" w:eastAsia="zh-CN"/>
              </w:rPr>
              <w:t>1</w:t>
            </w:r>
          </w:p>
        </w:tc>
        <w:tc>
          <w:tcPr>
            <w:tcW w:w="2815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/>
                <w:b/>
                <w:szCs w:val="21"/>
                <w:lang w:eastAsia="zh-CN"/>
              </w:rPr>
              <w:t>广告艺术设计</w:t>
            </w:r>
          </w:p>
        </w:tc>
        <w:tc>
          <w:tcPr>
            <w:tcW w:w="1145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/>
                <w:b/>
                <w:szCs w:val="21"/>
                <w:lang w:val="en-US" w:eastAsia="zh-CN"/>
              </w:rPr>
              <w:t>3</w:t>
            </w:r>
          </w:p>
        </w:tc>
        <w:tc>
          <w:tcPr>
            <w:tcW w:w="2160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/>
                <w:b/>
                <w:szCs w:val="21"/>
                <w:lang w:val="en-US" w:eastAsia="zh-CN"/>
              </w:rPr>
              <w:t>5000</w:t>
            </w:r>
          </w:p>
        </w:tc>
        <w:tc>
          <w:tcPr>
            <w:tcW w:w="2160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20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hint="eastAsia" w:asci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szCs w:val="21"/>
                <w:lang w:val="en-US" w:eastAsia="zh-CN"/>
              </w:rPr>
              <w:t>2</w:t>
            </w:r>
          </w:p>
        </w:tc>
        <w:tc>
          <w:tcPr>
            <w:tcW w:w="2815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hint="eastAsia" w:asci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/>
                <w:b/>
                <w:szCs w:val="21"/>
                <w:lang w:eastAsia="zh-CN"/>
              </w:rPr>
              <w:t>中草药栽培与加工技术</w:t>
            </w:r>
          </w:p>
        </w:tc>
        <w:tc>
          <w:tcPr>
            <w:tcW w:w="1145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/>
                <w:b/>
                <w:szCs w:val="21"/>
              </w:rPr>
              <w:t>3</w:t>
            </w:r>
          </w:p>
        </w:tc>
        <w:tc>
          <w:tcPr>
            <w:tcW w:w="2160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/>
                <w:b/>
                <w:szCs w:val="21"/>
              </w:rPr>
              <w:t>5000</w:t>
            </w:r>
          </w:p>
        </w:tc>
        <w:tc>
          <w:tcPr>
            <w:tcW w:w="2160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20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hint="eastAsia" w:asci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szCs w:val="21"/>
                <w:lang w:val="en-US" w:eastAsia="zh-CN"/>
              </w:rPr>
              <w:t>3</w:t>
            </w:r>
          </w:p>
        </w:tc>
        <w:tc>
          <w:tcPr>
            <w:tcW w:w="2815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/>
                <w:b/>
                <w:szCs w:val="21"/>
              </w:rPr>
              <w:t>林业技术</w:t>
            </w:r>
          </w:p>
        </w:tc>
        <w:tc>
          <w:tcPr>
            <w:tcW w:w="1145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/>
                <w:b/>
                <w:szCs w:val="21"/>
              </w:rPr>
              <w:t>3</w:t>
            </w:r>
          </w:p>
        </w:tc>
        <w:tc>
          <w:tcPr>
            <w:tcW w:w="2160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/>
                <w:b/>
                <w:szCs w:val="21"/>
              </w:rPr>
              <w:t>5000</w:t>
            </w:r>
          </w:p>
        </w:tc>
        <w:tc>
          <w:tcPr>
            <w:tcW w:w="2160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20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hint="eastAsia" w:asci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szCs w:val="21"/>
                <w:lang w:val="en-US" w:eastAsia="zh-CN"/>
              </w:rPr>
              <w:t>4</w:t>
            </w:r>
          </w:p>
        </w:tc>
        <w:tc>
          <w:tcPr>
            <w:tcW w:w="2815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hint="eastAsia" w:asci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/>
                <w:b/>
                <w:szCs w:val="21"/>
                <w:lang w:eastAsia="zh-CN"/>
              </w:rPr>
              <w:t>大数据与财务管理</w:t>
            </w:r>
          </w:p>
        </w:tc>
        <w:tc>
          <w:tcPr>
            <w:tcW w:w="1145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/>
                <w:b/>
                <w:szCs w:val="21"/>
              </w:rPr>
              <w:t>3</w:t>
            </w:r>
          </w:p>
        </w:tc>
        <w:tc>
          <w:tcPr>
            <w:tcW w:w="2160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/>
                <w:b/>
                <w:szCs w:val="21"/>
              </w:rPr>
              <w:t>4000</w:t>
            </w:r>
          </w:p>
        </w:tc>
        <w:tc>
          <w:tcPr>
            <w:tcW w:w="2160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20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hint="eastAsia" w:asci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szCs w:val="21"/>
                <w:lang w:val="en-US" w:eastAsia="zh-CN"/>
              </w:rPr>
              <w:t>5</w:t>
            </w:r>
          </w:p>
        </w:tc>
        <w:tc>
          <w:tcPr>
            <w:tcW w:w="2815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/>
                <w:b/>
                <w:szCs w:val="21"/>
              </w:rPr>
              <w:t>森林</w:t>
            </w:r>
            <w:r>
              <w:rPr>
                <w:rFonts w:hint="eastAsia" w:ascii="宋体"/>
                <w:b/>
                <w:szCs w:val="21"/>
                <w:lang w:eastAsia="zh-CN"/>
              </w:rPr>
              <w:t>草原防火技术</w:t>
            </w:r>
          </w:p>
        </w:tc>
        <w:tc>
          <w:tcPr>
            <w:tcW w:w="1145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/>
                <w:b/>
                <w:szCs w:val="21"/>
              </w:rPr>
              <w:t>3</w:t>
            </w:r>
          </w:p>
        </w:tc>
        <w:tc>
          <w:tcPr>
            <w:tcW w:w="2160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/>
                <w:b/>
                <w:szCs w:val="21"/>
                <w:lang w:val="en-US" w:eastAsia="zh-CN"/>
              </w:rPr>
              <w:t>4</w:t>
            </w:r>
            <w:r>
              <w:rPr>
                <w:rFonts w:ascii="宋体"/>
                <w:b/>
                <w:szCs w:val="21"/>
              </w:rPr>
              <w:t>000</w:t>
            </w:r>
          </w:p>
        </w:tc>
        <w:tc>
          <w:tcPr>
            <w:tcW w:w="2160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20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hint="eastAsia" w:asci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szCs w:val="21"/>
                <w:lang w:val="en-US" w:eastAsia="zh-CN"/>
              </w:rPr>
              <w:t>6</w:t>
            </w:r>
          </w:p>
        </w:tc>
        <w:tc>
          <w:tcPr>
            <w:tcW w:w="2815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/>
                <w:b/>
                <w:szCs w:val="21"/>
              </w:rPr>
              <w:t>旅游管理</w:t>
            </w:r>
          </w:p>
        </w:tc>
        <w:tc>
          <w:tcPr>
            <w:tcW w:w="1145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/>
                <w:b/>
                <w:szCs w:val="21"/>
              </w:rPr>
              <w:t>3</w:t>
            </w:r>
          </w:p>
        </w:tc>
        <w:tc>
          <w:tcPr>
            <w:tcW w:w="2160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/>
                <w:b/>
                <w:szCs w:val="21"/>
              </w:rPr>
              <w:t>5000</w:t>
            </w:r>
          </w:p>
        </w:tc>
        <w:tc>
          <w:tcPr>
            <w:tcW w:w="2160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20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hint="eastAsia" w:asci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szCs w:val="21"/>
                <w:lang w:val="en-US" w:eastAsia="zh-CN"/>
              </w:rPr>
              <w:t>7</w:t>
            </w:r>
          </w:p>
        </w:tc>
        <w:tc>
          <w:tcPr>
            <w:tcW w:w="2815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/>
                <w:b/>
                <w:szCs w:val="21"/>
              </w:rPr>
              <w:t>护理</w:t>
            </w:r>
          </w:p>
        </w:tc>
        <w:tc>
          <w:tcPr>
            <w:tcW w:w="1145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/>
                <w:b/>
                <w:szCs w:val="21"/>
              </w:rPr>
              <w:t>3</w:t>
            </w:r>
          </w:p>
        </w:tc>
        <w:tc>
          <w:tcPr>
            <w:tcW w:w="2160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/>
                <w:b/>
                <w:szCs w:val="21"/>
              </w:rPr>
              <w:t>5000</w:t>
            </w:r>
          </w:p>
        </w:tc>
        <w:tc>
          <w:tcPr>
            <w:tcW w:w="2160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20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hint="eastAsia" w:asci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szCs w:val="21"/>
                <w:lang w:val="en-US" w:eastAsia="zh-CN"/>
              </w:rPr>
              <w:t>8</w:t>
            </w:r>
          </w:p>
        </w:tc>
        <w:tc>
          <w:tcPr>
            <w:tcW w:w="2815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/>
                <w:b/>
                <w:szCs w:val="21"/>
              </w:rPr>
              <w:t>口腔医学</w:t>
            </w:r>
          </w:p>
        </w:tc>
        <w:tc>
          <w:tcPr>
            <w:tcW w:w="1145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/>
                <w:b/>
                <w:szCs w:val="21"/>
              </w:rPr>
              <w:t>3</w:t>
            </w:r>
          </w:p>
        </w:tc>
        <w:tc>
          <w:tcPr>
            <w:tcW w:w="2160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/>
                <w:b/>
                <w:szCs w:val="21"/>
              </w:rPr>
              <w:t>6000</w:t>
            </w:r>
          </w:p>
        </w:tc>
        <w:tc>
          <w:tcPr>
            <w:tcW w:w="2160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20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hint="eastAsia" w:asci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szCs w:val="21"/>
                <w:lang w:val="en-US" w:eastAsia="zh-CN"/>
              </w:rPr>
              <w:t>9</w:t>
            </w:r>
          </w:p>
        </w:tc>
        <w:tc>
          <w:tcPr>
            <w:tcW w:w="2815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hint="eastAsia" w:asci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/>
                <w:b/>
                <w:szCs w:val="21"/>
              </w:rPr>
              <w:t>临床医学</w:t>
            </w:r>
          </w:p>
        </w:tc>
        <w:tc>
          <w:tcPr>
            <w:tcW w:w="1145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/>
                <w:b/>
                <w:szCs w:val="21"/>
              </w:rPr>
              <w:t>3</w:t>
            </w:r>
          </w:p>
        </w:tc>
        <w:tc>
          <w:tcPr>
            <w:tcW w:w="2160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/>
                <w:b/>
                <w:szCs w:val="21"/>
              </w:rPr>
              <w:t>6000</w:t>
            </w:r>
          </w:p>
        </w:tc>
        <w:tc>
          <w:tcPr>
            <w:tcW w:w="2160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20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hint="default" w:asci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szCs w:val="21"/>
                <w:lang w:val="en-US" w:eastAsia="zh-CN"/>
              </w:rPr>
              <w:t>10</w:t>
            </w:r>
          </w:p>
        </w:tc>
        <w:tc>
          <w:tcPr>
            <w:tcW w:w="2815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hint="eastAsia" w:asci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/>
                <w:b/>
                <w:szCs w:val="21"/>
                <w:lang w:eastAsia="zh-CN"/>
              </w:rPr>
              <w:t>飞机电子设备维修</w:t>
            </w:r>
          </w:p>
        </w:tc>
        <w:tc>
          <w:tcPr>
            <w:tcW w:w="1145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hint="eastAsia" w:asci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szCs w:val="21"/>
                <w:lang w:val="en-US" w:eastAsia="zh-CN"/>
              </w:rPr>
              <w:t>3</w:t>
            </w:r>
          </w:p>
        </w:tc>
        <w:tc>
          <w:tcPr>
            <w:tcW w:w="2160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hint="default" w:asci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szCs w:val="21"/>
                <w:lang w:val="en-US" w:eastAsia="zh-CN"/>
              </w:rPr>
              <w:t>6000</w:t>
            </w:r>
          </w:p>
        </w:tc>
        <w:tc>
          <w:tcPr>
            <w:tcW w:w="2160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20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hint="default" w:asci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szCs w:val="21"/>
                <w:lang w:val="en-US" w:eastAsia="zh-CN"/>
              </w:rPr>
              <w:t>11</w:t>
            </w:r>
          </w:p>
        </w:tc>
        <w:tc>
          <w:tcPr>
            <w:tcW w:w="2815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hint="eastAsia" w:asci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/>
                <w:b/>
                <w:szCs w:val="21"/>
                <w:lang w:eastAsia="zh-CN"/>
              </w:rPr>
              <w:t>飞机机电设备维修</w:t>
            </w:r>
          </w:p>
        </w:tc>
        <w:tc>
          <w:tcPr>
            <w:tcW w:w="1145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hint="eastAsia" w:asci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szCs w:val="21"/>
                <w:lang w:val="en-US" w:eastAsia="zh-CN"/>
              </w:rPr>
              <w:t>3</w:t>
            </w:r>
          </w:p>
        </w:tc>
        <w:tc>
          <w:tcPr>
            <w:tcW w:w="2160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hint="default" w:asci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szCs w:val="21"/>
                <w:lang w:val="en-US" w:eastAsia="zh-CN"/>
              </w:rPr>
              <w:t>6000</w:t>
            </w:r>
          </w:p>
        </w:tc>
        <w:tc>
          <w:tcPr>
            <w:tcW w:w="2160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20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hint="default" w:asci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szCs w:val="21"/>
                <w:lang w:val="en-US" w:eastAsia="zh-CN"/>
              </w:rPr>
              <w:t>12</w:t>
            </w:r>
          </w:p>
        </w:tc>
        <w:tc>
          <w:tcPr>
            <w:tcW w:w="2815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hint="eastAsia" w:asci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/>
                <w:b/>
                <w:szCs w:val="21"/>
                <w:lang w:eastAsia="zh-CN"/>
              </w:rPr>
              <w:t>电子商务</w:t>
            </w:r>
          </w:p>
        </w:tc>
        <w:tc>
          <w:tcPr>
            <w:tcW w:w="1145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hint="eastAsia" w:ascii="宋体" w:eastAsia="宋体"/>
                <w:b/>
                <w:szCs w:val="21"/>
                <w:lang w:val="en-US" w:eastAsia="zh-CN"/>
              </w:rPr>
            </w:pPr>
            <w:r>
              <w:rPr>
                <w:rFonts w:ascii="宋体"/>
                <w:b/>
                <w:szCs w:val="21"/>
              </w:rPr>
              <w:t>3</w:t>
            </w:r>
          </w:p>
        </w:tc>
        <w:tc>
          <w:tcPr>
            <w:tcW w:w="2160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hint="default" w:asci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szCs w:val="21"/>
                <w:lang w:val="en-US" w:eastAsia="zh-CN"/>
              </w:rPr>
              <w:t>5</w:t>
            </w:r>
            <w:r>
              <w:rPr>
                <w:rFonts w:ascii="宋体"/>
                <w:b/>
                <w:szCs w:val="21"/>
              </w:rPr>
              <w:t>000</w:t>
            </w:r>
          </w:p>
        </w:tc>
        <w:tc>
          <w:tcPr>
            <w:tcW w:w="2160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20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b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szCs w:val="21"/>
                <w:lang w:val="en-US" w:eastAsia="zh-CN"/>
              </w:rPr>
              <w:t>13</w:t>
            </w:r>
          </w:p>
        </w:tc>
        <w:tc>
          <w:tcPr>
            <w:tcW w:w="2815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szCs w:val="21"/>
                <w:lang w:eastAsia="zh-CN"/>
              </w:rPr>
            </w:pPr>
            <w:r>
              <w:rPr>
                <w:rFonts w:hint="eastAsia" w:ascii="宋体"/>
                <w:b/>
                <w:szCs w:val="21"/>
                <w:lang w:eastAsia="zh-CN"/>
              </w:rPr>
              <w:t>计算机网络技术</w:t>
            </w:r>
          </w:p>
        </w:tc>
        <w:tc>
          <w:tcPr>
            <w:tcW w:w="1145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szCs w:val="21"/>
                <w:lang w:val="en-US" w:eastAsia="zh-CN"/>
              </w:rPr>
              <w:t>3</w:t>
            </w:r>
          </w:p>
        </w:tc>
        <w:tc>
          <w:tcPr>
            <w:tcW w:w="2160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szCs w:val="21"/>
                <w:lang w:val="en-US" w:eastAsia="zh-CN"/>
              </w:rPr>
              <w:t>4000</w:t>
            </w:r>
          </w:p>
        </w:tc>
        <w:tc>
          <w:tcPr>
            <w:tcW w:w="2160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ascii="宋体" w:hAnsi="Times New Roman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adjustRightInd w:val="0"/>
        <w:snapToGrid w:val="0"/>
        <w:ind w:firstLine="413" w:firstLineChars="196"/>
        <w:rPr>
          <w:rFonts w:ascii="宋体"/>
          <w:b/>
          <w:szCs w:val="21"/>
        </w:rPr>
      </w:pPr>
      <w:r>
        <w:rPr>
          <w:rFonts w:hint="eastAsia" w:ascii="宋体" w:hAnsi="宋体"/>
          <w:b/>
          <w:szCs w:val="21"/>
        </w:rPr>
        <w:t>招生计划分配（以省教育厅最终批复为准）</w:t>
      </w:r>
    </w:p>
    <w:p>
      <w:pPr>
        <w:adjustRightInd w:val="0"/>
        <w:snapToGrid w:val="0"/>
        <w:ind w:firstLine="413" w:firstLineChars="196"/>
        <w:rPr>
          <w:rFonts w:ascii="宋体"/>
          <w:b/>
          <w:szCs w:val="21"/>
        </w:rPr>
      </w:pPr>
      <w:bookmarkStart w:id="0" w:name="_GoBack"/>
      <w:bookmarkEnd w:id="0"/>
      <w:r>
        <w:rPr>
          <w:rFonts w:hint="eastAsia" w:ascii="宋体" w:hAnsi="宋体"/>
          <w:b/>
          <w:szCs w:val="21"/>
        </w:rPr>
        <w:t>测试形式和内容、授课方式：</w:t>
      </w:r>
    </w:p>
    <w:p>
      <w:pPr>
        <w:adjustRightInd w:val="0"/>
        <w:snapToGrid w:val="0"/>
        <w:ind w:firstLine="420" w:firstLineChars="20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、测试形式和内容。鉴于当前疫情形势，我院拟采取网络测试。采取现行“文化素质（</w:t>
      </w:r>
      <w:r>
        <w:rPr>
          <w:rFonts w:ascii="宋体" w:hAnsi="宋体"/>
          <w:szCs w:val="21"/>
        </w:rPr>
        <w:t>150</w:t>
      </w:r>
      <w:r>
        <w:rPr>
          <w:rFonts w:hint="eastAsia" w:ascii="宋体" w:hAnsi="宋体"/>
          <w:szCs w:val="21"/>
        </w:rPr>
        <w:t>分）</w:t>
      </w:r>
      <w:r>
        <w:rPr>
          <w:rFonts w:ascii="宋体" w:hAnsi="宋体"/>
          <w:szCs w:val="21"/>
        </w:rPr>
        <w:t>+</w:t>
      </w:r>
      <w:r>
        <w:rPr>
          <w:rFonts w:hint="eastAsia" w:ascii="宋体" w:hAnsi="宋体"/>
          <w:szCs w:val="21"/>
        </w:rPr>
        <w:t>职业技能（</w:t>
      </w:r>
      <w:r>
        <w:rPr>
          <w:rFonts w:ascii="宋体" w:hAnsi="宋体"/>
          <w:szCs w:val="21"/>
        </w:rPr>
        <w:t>150</w:t>
      </w:r>
      <w:r>
        <w:rPr>
          <w:rFonts w:hint="eastAsia" w:ascii="宋体" w:hAnsi="宋体"/>
          <w:szCs w:val="21"/>
        </w:rPr>
        <w:t>分）”方式，满分</w:t>
      </w:r>
      <w:r>
        <w:rPr>
          <w:rFonts w:ascii="宋体" w:hAnsi="宋体"/>
          <w:szCs w:val="21"/>
        </w:rPr>
        <w:t>300</w:t>
      </w:r>
      <w:r>
        <w:rPr>
          <w:rFonts w:hint="eastAsia" w:ascii="宋体" w:hAnsi="宋体"/>
          <w:szCs w:val="21"/>
        </w:rPr>
        <w:t>分。对于普通高中毕业生，文化素质成绩使用学业水平考试成绩，职业技能成绩使用我院测试成绩。对于中职毕业生、退役军人、下岗失业人员、农民工、高素质农民、基层卫生技术人员、企业员工和基层农技人员，由学院组织进行文化素质和职业技能测试。对于符合免试条件的技能拔尖人才，予以免试录取。对于取得相关职业技能等级证书的考生，报考相关专业可免予职业技能测试。</w:t>
      </w:r>
    </w:p>
    <w:p>
      <w:pPr>
        <w:adjustRightInd w:val="0"/>
        <w:snapToGrid w:val="0"/>
        <w:ind w:firstLine="420" w:firstLineChars="20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、授课方式。学院坚持标准不降、模式多元、学制灵活，坚持因材施教、按需施教，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坚持宽进严出，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严把毕业关口。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采取弹性学制和集中学习、网络授课、岗位技能训练相结合的灵活教学模式。其中，集中学习不得低于</w:t>
      </w:r>
      <w:r>
        <w:rPr>
          <w:rFonts w:ascii="宋体" w:hAnsi="宋体"/>
          <w:szCs w:val="21"/>
        </w:rPr>
        <w:t xml:space="preserve"> 1000 </w:t>
      </w:r>
      <w:r>
        <w:rPr>
          <w:rFonts w:hint="eastAsia" w:ascii="宋体" w:hAnsi="宋体"/>
          <w:szCs w:val="21"/>
        </w:rPr>
        <w:t>学时。</w:t>
      </w:r>
    </w:p>
    <w:p>
      <w:pPr>
        <w:adjustRightInd w:val="0"/>
        <w:snapToGrid w:val="0"/>
        <w:ind w:firstLine="413" w:firstLineChars="196"/>
        <w:rPr>
          <w:rFonts w:ascii="宋体"/>
          <w:b/>
          <w:szCs w:val="21"/>
        </w:rPr>
      </w:pPr>
      <w:r>
        <w:rPr>
          <w:rFonts w:hint="eastAsia" w:ascii="宋体" w:hAnsi="宋体"/>
          <w:b/>
          <w:szCs w:val="21"/>
        </w:rPr>
        <w:t>录取原则：</w:t>
      </w:r>
    </w:p>
    <w:p>
      <w:pPr>
        <w:adjustRightInd w:val="0"/>
        <w:snapToGrid w:val="0"/>
        <w:ind w:firstLine="411" w:firstLineChars="196"/>
        <w:rPr>
          <w:rFonts w:ascii="宋体"/>
          <w:b/>
          <w:szCs w:val="21"/>
        </w:rPr>
      </w:pPr>
      <w:r>
        <w:rPr>
          <w:rFonts w:ascii="宋体"/>
          <w:szCs w:val="21"/>
        </w:rPr>
        <w:t>1</w:t>
      </w:r>
      <w:r>
        <w:rPr>
          <w:rFonts w:hint="eastAsia" w:ascii="宋体"/>
          <w:szCs w:val="21"/>
        </w:rPr>
        <w:t>、学院认真贯彻并严格执行省级招生政策及规定。</w:t>
      </w:r>
    </w:p>
    <w:p>
      <w:pPr>
        <w:adjustRightInd w:val="0"/>
        <w:snapToGrid w:val="0"/>
        <w:ind w:firstLine="420" w:firstLineChars="200"/>
        <w:rPr>
          <w:rFonts w:ascii="宋体"/>
          <w:szCs w:val="21"/>
        </w:rPr>
      </w:pPr>
      <w:r>
        <w:rPr>
          <w:rFonts w:ascii="宋体"/>
          <w:szCs w:val="21"/>
        </w:rPr>
        <w:t>2</w:t>
      </w:r>
      <w:r>
        <w:rPr>
          <w:rFonts w:hint="eastAsia" w:ascii="宋体"/>
          <w:szCs w:val="21"/>
        </w:rPr>
        <w:t>、根据全省统一安排，</w:t>
      </w:r>
      <w:r>
        <w:rPr>
          <w:rFonts w:ascii="宋体"/>
          <w:szCs w:val="21"/>
        </w:rPr>
        <w:t>202</w:t>
      </w:r>
      <w:r>
        <w:rPr>
          <w:rFonts w:hint="eastAsia" w:ascii="宋体"/>
          <w:szCs w:val="21"/>
          <w:lang w:val="en-US" w:eastAsia="zh-CN"/>
        </w:rPr>
        <w:t>1</w:t>
      </w:r>
      <w:r>
        <w:rPr>
          <w:rFonts w:hint="eastAsia" w:ascii="宋体"/>
          <w:szCs w:val="21"/>
        </w:rPr>
        <w:t>年高职扩招实行分阶段录取，共分两个阶段，考生只能被一所院校录取。第一阶段录取：</w:t>
      </w:r>
      <w:r>
        <w:rPr>
          <w:rFonts w:ascii="宋体"/>
          <w:szCs w:val="21"/>
        </w:rPr>
        <w:t>202</w:t>
      </w:r>
      <w:r>
        <w:rPr>
          <w:rFonts w:hint="eastAsia" w:ascii="宋体"/>
          <w:szCs w:val="21"/>
          <w:lang w:val="en-US" w:eastAsia="zh-CN"/>
        </w:rPr>
        <w:t>1</w:t>
      </w:r>
      <w:r>
        <w:rPr>
          <w:rFonts w:hint="eastAsia" w:ascii="宋体"/>
          <w:szCs w:val="21"/>
        </w:rPr>
        <w:t>年</w:t>
      </w:r>
      <w:r>
        <w:rPr>
          <w:rFonts w:ascii="宋体"/>
          <w:szCs w:val="21"/>
        </w:rPr>
        <w:t>11</w:t>
      </w:r>
      <w:r>
        <w:rPr>
          <w:rFonts w:hint="eastAsia" w:ascii="宋体"/>
          <w:szCs w:val="21"/>
        </w:rPr>
        <w:t>月</w:t>
      </w:r>
      <w:r>
        <w:rPr>
          <w:rFonts w:hint="eastAsia" w:ascii="宋体"/>
          <w:szCs w:val="21"/>
          <w:lang w:val="en-US" w:eastAsia="zh-CN"/>
        </w:rPr>
        <w:t>7</w:t>
      </w:r>
      <w:r>
        <w:rPr>
          <w:rFonts w:hint="eastAsia" w:ascii="宋体"/>
          <w:szCs w:val="21"/>
        </w:rPr>
        <w:t>日前，公布参加本校招生考试的全体考生录取结果。第二阶段录取：</w:t>
      </w:r>
      <w:r>
        <w:rPr>
          <w:rFonts w:ascii="宋体"/>
          <w:szCs w:val="21"/>
        </w:rPr>
        <w:t>2020</w:t>
      </w:r>
      <w:r>
        <w:rPr>
          <w:rFonts w:hint="eastAsia" w:ascii="宋体"/>
          <w:szCs w:val="21"/>
        </w:rPr>
        <w:t>年</w:t>
      </w:r>
      <w:r>
        <w:rPr>
          <w:rFonts w:ascii="宋体"/>
          <w:szCs w:val="21"/>
        </w:rPr>
        <w:t>1</w:t>
      </w:r>
      <w:r>
        <w:rPr>
          <w:rFonts w:hint="eastAsia" w:ascii="宋体"/>
          <w:szCs w:val="21"/>
          <w:lang w:val="en-US" w:eastAsia="zh-CN"/>
        </w:rPr>
        <w:t>1</w:t>
      </w:r>
      <w:r>
        <w:rPr>
          <w:rFonts w:hint="eastAsia" w:ascii="宋体"/>
          <w:szCs w:val="21"/>
        </w:rPr>
        <w:t>月</w:t>
      </w:r>
      <w:r>
        <w:rPr>
          <w:rFonts w:hint="eastAsia" w:ascii="宋体"/>
          <w:szCs w:val="21"/>
          <w:lang w:val="en-US" w:eastAsia="zh-CN"/>
        </w:rPr>
        <w:t>14</w:t>
      </w:r>
      <w:r>
        <w:rPr>
          <w:rFonts w:hint="eastAsia" w:ascii="宋体"/>
          <w:szCs w:val="21"/>
        </w:rPr>
        <w:t>日前，在第一阶段未被院校录取的考生，可以向我院（未完成招生计划情况下）提出入学申请，经学院考核（审核）通过合格后，由学院办理录取手续。</w:t>
      </w:r>
    </w:p>
    <w:p>
      <w:pPr>
        <w:adjustRightInd w:val="0"/>
        <w:snapToGrid w:val="0"/>
        <w:ind w:firstLine="420" w:firstLineChars="200"/>
        <w:rPr>
          <w:rFonts w:ascii="宋体"/>
          <w:szCs w:val="21"/>
        </w:rPr>
      </w:pPr>
      <w:r>
        <w:rPr>
          <w:rFonts w:ascii="宋体"/>
          <w:szCs w:val="21"/>
        </w:rPr>
        <w:t>3</w:t>
      </w:r>
      <w:r>
        <w:rPr>
          <w:rFonts w:hint="eastAsia" w:ascii="宋体"/>
          <w:szCs w:val="21"/>
        </w:rPr>
        <w:t>、根据我院招生计划，按考生总分从高分到低分录取，录满为止。录取时，按照分数优先的原则进行专业分配，专业间无级差。如无法满足所填报的专业志愿时，服从专业调剂者，可进行专业调剂，不服从专业调剂者，不予录取。若考生总成绩相同，</w:t>
      </w:r>
      <w:r>
        <w:rPr>
          <w:rFonts w:hint="eastAsia" w:ascii="宋体" w:hAnsi="宋体"/>
          <w:szCs w:val="21"/>
        </w:rPr>
        <w:t>对比其职业技能成绩择优录取，但总</w:t>
      </w:r>
      <w:r>
        <w:rPr>
          <w:rFonts w:hint="eastAsia" w:ascii="宋体"/>
          <w:szCs w:val="21"/>
        </w:rPr>
        <w:t>成绩低于</w:t>
      </w:r>
      <w:r>
        <w:rPr>
          <w:rFonts w:ascii="宋体"/>
          <w:szCs w:val="21"/>
        </w:rPr>
        <w:t>160</w:t>
      </w:r>
      <w:r>
        <w:rPr>
          <w:rFonts w:hint="eastAsia" w:ascii="宋体"/>
          <w:szCs w:val="21"/>
        </w:rPr>
        <w:t>分者，不予录取。学院考试、录取工作自觉接受省教育厅和省招考院的督导和检查。录取结果向社会公示，并上报黑龙江省招生考试院审批备案。</w:t>
      </w:r>
    </w:p>
    <w:p>
      <w:pPr>
        <w:adjustRightInd w:val="0"/>
        <w:snapToGrid w:val="0"/>
        <w:ind w:firstLine="420" w:firstLineChars="200"/>
        <w:rPr>
          <w:rFonts w:ascii="宋体"/>
          <w:szCs w:val="21"/>
        </w:rPr>
      </w:pPr>
      <w:r>
        <w:rPr>
          <w:rFonts w:ascii="宋体"/>
          <w:szCs w:val="21"/>
        </w:rPr>
        <w:t>4</w:t>
      </w:r>
      <w:r>
        <w:rPr>
          <w:rFonts w:hint="eastAsia" w:ascii="宋体"/>
          <w:szCs w:val="21"/>
        </w:rPr>
        <w:t>、已被我院高职扩招考试录取的考生，由学院下发录取通知书，逾期不报到者视为放弃入学资格。</w:t>
      </w:r>
    </w:p>
    <w:p>
      <w:pPr>
        <w:adjustRightInd w:val="0"/>
        <w:snapToGrid w:val="0"/>
        <w:ind w:firstLine="420" w:firstLineChars="200"/>
        <w:rPr>
          <w:rFonts w:ascii="宋体"/>
          <w:szCs w:val="21"/>
        </w:rPr>
      </w:pPr>
      <w:r>
        <w:rPr>
          <w:rFonts w:ascii="宋体"/>
          <w:szCs w:val="21"/>
        </w:rPr>
        <w:t>5</w:t>
      </w:r>
      <w:r>
        <w:rPr>
          <w:rFonts w:hint="eastAsia" w:ascii="宋体"/>
          <w:szCs w:val="21"/>
        </w:rPr>
        <w:t>、录取中，如果发现在报名和考试过程中有弄虚作假、违纪违规行为的考生及在新生复查中出现冒名顶替的新生，将取消其入学资格，上报黑龙江省招生考试院，并将其档案退回其户籍所在地。</w:t>
      </w:r>
    </w:p>
    <w:p>
      <w:pPr>
        <w:adjustRightInd w:val="0"/>
        <w:snapToGrid w:val="0"/>
        <w:ind w:firstLine="420" w:firstLineChars="200"/>
        <w:rPr>
          <w:rFonts w:ascii="宋体"/>
          <w:szCs w:val="21"/>
        </w:rPr>
      </w:pPr>
      <w:r>
        <w:rPr>
          <w:rFonts w:ascii="宋体"/>
          <w:szCs w:val="21"/>
        </w:rPr>
        <w:t>6</w:t>
      </w:r>
      <w:r>
        <w:rPr>
          <w:rFonts w:hint="eastAsia" w:ascii="宋体"/>
          <w:szCs w:val="21"/>
        </w:rPr>
        <w:t>、报考考生身体健康状况需符合《普通高等学校招生体检标准》的要求。</w:t>
      </w:r>
    </w:p>
    <w:p>
      <w:pPr>
        <w:adjustRightInd w:val="0"/>
        <w:snapToGrid w:val="0"/>
        <w:ind w:firstLine="413" w:firstLineChars="196"/>
        <w:rPr>
          <w:rFonts w:ascii="宋体"/>
          <w:b/>
          <w:szCs w:val="21"/>
        </w:rPr>
      </w:pPr>
      <w:r>
        <w:rPr>
          <w:rFonts w:hint="eastAsia" w:ascii="宋体" w:hAnsi="宋体"/>
          <w:b/>
          <w:szCs w:val="21"/>
        </w:rPr>
        <w:t>互认成绩：</w:t>
      </w:r>
    </w:p>
    <w:p>
      <w:pPr>
        <w:adjustRightInd w:val="0"/>
        <w:snapToGrid w:val="0"/>
        <w:rPr>
          <w:rFonts w:ascii="宋体"/>
          <w:szCs w:val="21"/>
        </w:rPr>
      </w:pPr>
      <w:r>
        <w:rPr>
          <w:rFonts w:ascii="宋体" w:hAnsi="宋体"/>
          <w:b/>
          <w:szCs w:val="21"/>
        </w:rPr>
        <w:t xml:space="preserve">    </w:t>
      </w:r>
      <w:r>
        <w:rPr>
          <w:rFonts w:hint="eastAsia" w:ascii="宋体" w:hAnsi="宋体"/>
          <w:szCs w:val="21"/>
        </w:rPr>
        <w:t>我院认同省内所有高职院校</w:t>
      </w:r>
      <w:r>
        <w:rPr>
          <w:rFonts w:ascii="宋体" w:hAnsi="宋体"/>
          <w:szCs w:val="21"/>
        </w:rPr>
        <w:t>202</w:t>
      </w:r>
      <w:r>
        <w:rPr>
          <w:rFonts w:hint="eastAsia" w:ascii="宋体" w:hAnsi="宋体"/>
          <w:szCs w:val="21"/>
          <w:lang w:val="en-US" w:eastAsia="zh-CN"/>
        </w:rPr>
        <w:t>1</w:t>
      </w:r>
      <w:r>
        <w:rPr>
          <w:rFonts w:hint="eastAsia" w:ascii="宋体" w:hAnsi="宋体"/>
          <w:szCs w:val="21"/>
        </w:rPr>
        <w:t>年高职专项扩招考试成绩。申请考生需提供由省内其他高职院校认证的</w:t>
      </w:r>
      <w:r>
        <w:rPr>
          <w:rFonts w:ascii="宋体" w:hAnsi="宋体"/>
          <w:szCs w:val="21"/>
        </w:rPr>
        <w:t>202</w:t>
      </w:r>
      <w:r>
        <w:rPr>
          <w:rFonts w:hint="eastAsia" w:ascii="宋体" w:hAnsi="宋体"/>
          <w:szCs w:val="21"/>
          <w:lang w:val="en-US" w:eastAsia="zh-CN"/>
        </w:rPr>
        <w:t>1</w:t>
      </w:r>
      <w:r>
        <w:rPr>
          <w:rFonts w:hint="eastAsia" w:ascii="宋体" w:hAnsi="宋体"/>
          <w:szCs w:val="21"/>
        </w:rPr>
        <w:t>年高职专项扩招考试成绩，但总成绩低于</w:t>
      </w:r>
      <w:r>
        <w:rPr>
          <w:rFonts w:ascii="宋体" w:hAnsi="宋体"/>
          <w:szCs w:val="21"/>
        </w:rPr>
        <w:t>16</w:t>
      </w:r>
      <w:r>
        <w:rPr>
          <w:rFonts w:ascii="宋体"/>
          <w:szCs w:val="21"/>
        </w:rPr>
        <w:t>0</w:t>
      </w:r>
      <w:r>
        <w:rPr>
          <w:rFonts w:hint="eastAsia" w:ascii="宋体" w:hAnsi="宋体"/>
          <w:szCs w:val="21"/>
        </w:rPr>
        <w:t>分者，不予录取。</w:t>
      </w:r>
    </w:p>
    <w:p>
      <w:pPr>
        <w:adjustRightInd w:val="0"/>
        <w:snapToGrid w:val="0"/>
        <w:ind w:firstLine="413" w:firstLineChars="196"/>
        <w:rPr>
          <w:rFonts w:ascii="宋体"/>
          <w:b/>
          <w:szCs w:val="21"/>
        </w:rPr>
      </w:pPr>
      <w:r>
        <w:rPr>
          <w:rFonts w:hint="eastAsia" w:ascii="宋体" w:hAnsi="宋体"/>
          <w:b/>
          <w:szCs w:val="21"/>
        </w:rPr>
        <w:t>非第一院校志愿考生申请入学程序：</w:t>
      </w:r>
    </w:p>
    <w:p>
      <w:pPr>
        <w:adjustRightInd w:val="0"/>
        <w:snapToGrid w:val="0"/>
        <w:rPr>
          <w:rFonts w:ascii="宋体"/>
          <w:szCs w:val="21"/>
        </w:rPr>
      </w:pPr>
      <w:r>
        <w:rPr>
          <w:rFonts w:ascii="宋体" w:hAnsi="宋体"/>
          <w:b/>
          <w:szCs w:val="21"/>
        </w:rPr>
        <w:t xml:space="preserve">    </w:t>
      </w:r>
      <w:r>
        <w:rPr>
          <w:rFonts w:hint="eastAsia" w:ascii="宋体" w:hAnsi="宋体"/>
          <w:szCs w:val="21"/>
        </w:rPr>
        <w:t>对于非第一院校志愿报考我院考生申请入学，需由考生本人向我院提出书面申请，经学院审核通过后，再根据考生考试成绩和录取规则，择优录取。</w:t>
      </w:r>
    </w:p>
    <w:p>
      <w:pPr>
        <w:adjustRightInd w:val="0"/>
        <w:snapToGrid w:val="0"/>
        <w:ind w:firstLine="413" w:firstLineChars="196"/>
        <w:rPr>
          <w:rFonts w:ascii="宋体"/>
          <w:b/>
          <w:szCs w:val="21"/>
        </w:rPr>
      </w:pPr>
      <w:r>
        <w:rPr>
          <w:rFonts w:hint="eastAsia" w:ascii="宋体" w:hAnsi="宋体"/>
          <w:b/>
          <w:szCs w:val="21"/>
        </w:rPr>
        <w:t>录取结果：</w:t>
      </w:r>
    </w:p>
    <w:p>
      <w:pPr>
        <w:adjustRightInd w:val="0"/>
        <w:snapToGrid w:val="0"/>
        <w:ind w:firstLine="415" w:firstLineChars="198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录取结果向社会公示，通过学院网站发布并上报黑龙江省招考办审批备案，考生可网上查询。</w:t>
      </w:r>
    </w:p>
    <w:p>
      <w:pPr>
        <w:adjustRightInd w:val="0"/>
        <w:snapToGrid w:val="0"/>
        <w:ind w:firstLine="413" w:firstLineChars="196"/>
        <w:rPr>
          <w:rFonts w:ascii="宋体" w:cs="宋体-方正超大字符集"/>
          <w:b/>
          <w:szCs w:val="21"/>
        </w:rPr>
      </w:pPr>
      <w:r>
        <w:rPr>
          <w:rFonts w:hint="eastAsia" w:ascii="宋体" w:hAnsi="宋体" w:cs="宋体-方正超大字符集"/>
          <w:b/>
          <w:szCs w:val="21"/>
        </w:rPr>
        <w:t>收费标准：（以省教育厅或财政厅、发改委最终批复为准）</w:t>
      </w:r>
    </w:p>
    <w:p>
      <w:pPr>
        <w:adjustRightInd w:val="0"/>
        <w:snapToGrid w:val="0"/>
        <w:ind w:firstLine="417" w:firstLineChars="199"/>
        <w:rPr>
          <w:rFonts w:ascii="宋体" w:cs="宋体-方正超大字符集"/>
          <w:szCs w:val="21"/>
          <w:highlight w:val="red"/>
        </w:rPr>
      </w:pPr>
      <w:r>
        <w:rPr>
          <w:rFonts w:hint="eastAsia" w:ascii="宋体" w:hAnsi="宋体" w:cs="宋体-方正超大字符集"/>
          <w:szCs w:val="21"/>
        </w:rPr>
        <w:t>学</w:t>
      </w:r>
      <w:r>
        <w:rPr>
          <w:rFonts w:ascii="宋体" w:hAnsi="宋体" w:cs="宋体-方正超大字符集"/>
          <w:szCs w:val="21"/>
        </w:rPr>
        <w:t xml:space="preserve">  </w:t>
      </w:r>
      <w:r>
        <w:rPr>
          <w:rFonts w:hint="eastAsia" w:ascii="宋体" w:hAnsi="宋体" w:cs="宋体-方正超大字符集"/>
          <w:szCs w:val="21"/>
        </w:rPr>
        <w:t>费：分专业每生</w:t>
      </w:r>
      <w:r>
        <w:rPr>
          <w:rFonts w:ascii="宋体" w:hAnsi="宋体" w:cs="宋体-方正超大字符集"/>
          <w:szCs w:val="21"/>
        </w:rPr>
        <w:t>40</w:t>
      </w:r>
      <w:r>
        <w:rPr>
          <w:rFonts w:ascii="宋体" w:cs="宋体-方正超大字符集"/>
          <w:szCs w:val="21"/>
        </w:rPr>
        <w:t>00-</w:t>
      </w:r>
      <w:r>
        <w:rPr>
          <w:rFonts w:ascii="宋体" w:hAnsi="宋体" w:cs="宋体-方正超大字符集"/>
          <w:szCs w:val="21"/>
        </w:rPr>
        <w:t>6</w:t>
      </w:r>
      <w:r>
        <w:rPr>
          <w:rFonts w:ascii="宋体" w:cs="宋体-方正超大字符集"/>
          <w:szCs w:val="21"/>
        </w:rPr>
        <w:t>000</w:t>
      </w:r>
      <w:r>
        <w:rPr>
          <w:rFonts w:hint="eastAsia" w:ascii="宋体" w:hAnsi="宋体" w:cs="宋体-方正超大字符集"/>
          <w:szCs w:val="21"/>
        </w:rPr>
        <w:t>元</w:t>
      </w:r>
      <w:r>
        <w:rPr>
          <w:rFonts w:ascii="宋体" w:hAnsi="宋体" w:cs="宋体-方正超大字符集"/>
          <w:szCs w:val="21"/>
        </w:rPr>
        <w:t>/</w:t>
      </w:r>
      <w:r>
        <w:rPr>
          <w:rFonts w:hint="eastAsia" w:ascii="宋体" w:hAnsi="宋体" w:cs="宋体-方正超大字符集"/>
          <w:szCs w:val="21"/>
        </w:rPr>
        <w:t>年。</w:t>
      </w:r>
    </w:p>
    <w:p>
      <w:pPr>
        <w:adjustRightInd w:val="0"/>
        <w:snapToGrid w:val="0"/>
        <w:ind w:firstLine="417" w:firstLineChars="198"/>
        <w:rPr>
          <w:rFonts w:hint="eastAsia" w:ascii="宋体" w:hAnsi="宋体" w:cs="宋体-方正超大字符集"/>
          <w:b/>
          <w:szCs w:val="21"/>
        </w:rPr>
      </w:pPr>
    </w:p>
    <w:p>
      <w:pPr>
        <w:adjustRightInd w:val="0"/>
        <w:snapToGrid w:val="0"/>
        <w:ind w:firstLine="417" w:firstLineChars="198"/>
        <w:rPr>
          <w:rFonts w:hint="eastAsia" w:ascii="宋体" w:hAnsi="宋体" w:cs="宋体-方正超大字符集"/>
          <w:b/>
          <w:szCs w:val="21"/>
        </w:rPr>
      </w:pPr>
    </w:p>
    <w:p>
      <w:pPr>
        <w:adjustRightInd w:val="0"/>
        <w:snapToGrid w:val="0"/>
        <w:ind w:firstLine="417" w:firstLineChars="198"/>
        <w:rPr>
          <w:rFonts w:hint="eastAsia" w:ascii="宋体" w:hAnsi="宋体" w:cs="宋体-方正超大字符集"/>
          <w:b/>
          <w:szCs w:val="21"/>
        </w:rPr>
      </w:pPr>
    </w:p>
    <w:p>
      <w:pPr>
        <w:adjustRightInd w:val="0"/>
        <w:snapToGrid w:val="0"/>
        <w:ind w:firstLine="417" w:firstLineChars="198"/>
        <w:rPr>
          <w:rFonts w:hint="eastAsia" w:ascii="宋体" w:hAnsi="宋体" w:cs="宋体-方正超大字符集"/>
          <w:b/>
          <w:szCs w:val="21"/>
        </w:rPr>
      </w:pPr>
    </w:p>
    <w:p>
      <w:pPr>
        <w:adjustRightInd w:val="0"/>
        <w:snapToGrid w:val="0"/>
        <w:ind w:firstLine="422" w:firstLineChars="200"/>
        <w:rPr>
          <w:rFonts w:hint="eastAsia" w:ascii="宋体" w:hAnsi="宋体" w:cs="宋体-方正超大字符集"/>
          <w:b/>
          <w:szCs w:val="21"/>
        </w:rPr>
      </w:pPr>
    </w:p>
    <w:p>
      <w:pPr>
        <w:adjustRightInd w:val="0"/>
        <w:snapToGrid w:val="0"/>
        <w:ind w:firstLine="422" w:firstLineChars="200"/>
        <w:rPr>
          <w:rFonts w:hint="eastAsia" w:ascii="宋体" w:hAnsi="宋体" w:cs="宋体-方正超大字符集"/>
          <w:b/>
          <w:szCs w:val="21"/>
        </w:rPr>
      </w:pPr>
    </w:p>
    <w:p>
      <w:pPr>
        <w:adjustRightInd w:val="0"/>
        <w:snapToGrid w:val="0"/>
        <w:ind w:firstLine="422" w:firstLineChars="200"/>
        <w:rPr>
          <w:rFonts w:ascii="宋体" w:cs="宋体-方正超大字符集"/>
          <w:szCs w:val="21"/>
        </w:rPr>
      </w:pPr>
      <w:r>
        <w:rPr>
          <w:rFonts w:hint="eastAsia" w:ascii="宋体" w:hAnsi="宋体" w:cs="宋体-方正超大字符集"/>
          <w:b/>
          <w:szCs w:val="21"/>
        </w:rPr>
        <w:t>通讯地址：</w:t>
      </w:r>
      <w:r>
        <w:rPr>
          <w:rFonts w:hint="eastAsia" w:ascii="宋体" w:hAnsi="宋体" w:cs="宋体-方正超大字符集"/>
          <w:szCs w:val="21"/>
        </w:rPr>
        <w:t>黑龙江省大兴安岭地区加格达奇区机场路</w:t>
      </w:r>
      <w:r>
        <w:rPr>
          <w:rFonts w:ascii="宋体" w:hAnsi="宋体" w:cs="宋体-方正超大字符集"/>
          <w:szCs w:val="21"/>
        </w:rPr>
        <w:t>18</w:t>
      </w:r>
      <w:r>
        <w:rPr>
          <w:rFonts w:hint="eastAsia" w:ascii="宋体" w:hAnsi="宋体" w:cs="宋体-方正超大字符集"/>
          <w:szCs w:val="21"/>
        </w:rPr>
        <w:t>号</w:t>
      </w:r>
    </w:p>
    <w:p>
      <w:pPr>
        <w:adjustRightInd w:val="0"/>
        <w:snapToGrid w:val="0"/>
        <w:ind w:firstLine="417" w:firstLineChars="198"/>
        <w:rPr>
          <w:rFonts w:ascii="宋体" w:cs="宋体-方正超大字符集"/>
          <w:szCs w:val="21"/>
        </w:rPr>
      </w:pPr>
      <w:r>
        <w:rPr>
          <w:rFonts w:hint="eastAsia" w:ascii="宋体" w:hAnsi="宋体" w:cs="宋体-方正超大字符集"/>
          <w:b/>
          <w:szCs w:val="21"/>
        </w:rPr>
        <w:t>咨询电话：</w:t>
      </w:r>
      <w:r>
        <w:rPr>
          <w:rFonts w:ascii="宋体" w:hAnsi="宋体" w:cs="宋体-方正超大字符集"/>
          <w:szCs w:val="21"/>
        </w:rPr>
        <w:t>0457-2172337  0457-2172335</w:t>
      </w:r>
      <w:r>
        <w:rPr>
          <w:rFonts w:hint="eastAsia" w:ascii="宋体" w:hAnsi="宋体" w:cs="宋体-方正超大字符集"/>
          <w:szCs w:val="21"/>
        </w:rPr>
        <w:t>　</w:t>
      </w:r>
    </w:p>
    <w:p>
      <w:pPr>
        <w:adjustRightInd w:val="0"/>
        <w:snapToGrid w:val="0"/>
        <w:ind w:firstLine="417" w:firstLineChars="198"/>
        <w:rPr>
          <w:rFonts w:ascii="宋体" w:cs="宋体-方正超大字符集"/>
          <w:szCs w:val="21"/>
        </w:rPr>
      </w:pPr>
      <w:r>
        <w:rPr>
          <w:rFonts w:hint="eastAsia" w:ascii="宋体" w:hAnsi="宋体" w:cs="宋体-方正超大字符集"/>
          <w:b/>
          <w:szCs w:val="21"/>
        </w:rPr>
        <w:t>传</w:t>
      </w:r>
      <w:r>
        <w:rPr>
          <w:rFonts w:ascii="宋体" w:hAnsi="宋体" w:cs="宋体-方正超大字符集"/>
          <w:b/>
          <w:szCs w:val="21"/>
        </w:rPr>
        <w:t xml:space="preserve">    </w:t>
      </w:r>
      <w:r>
        <w:rPr>
          <w:rFonts w:hint="eastAsia" w:ascii="宋体" w:hAnsi="宋体" w:cs="宋体-方正超大字符集"/>
          <w:b/>
          <w:szCs w:val="21"/>
        </w:rPr>
        <w:t>真：</w:t>
      </w:r>
      <w:r>
        <w:rPr>
          <w:rFonts w:ascii="宋体" w:hAnsi="宋体" w:cs="宋体-方正超大字符集"/>
          <w:szCs w:val="21"/>
        </w:rPr>
        <w:t>0457-217235</w:t>
      </w:r>
    </w:p>
    <w:p>
      <w:pPr>
        <w:adjustRightInd w:val="0"/>
        <w:snapToGrid w:val="0"/>
        <w:ind w:firstLine="417" w:firstLineChars="198"/>
        <w:rPr>
          <w:rFonts w:ascii="宋体" w:cs="宋体-方正超大字符集"/>
          <w:b/>
          <w:szCs w:val="21"/>
        </w:rPr>
      </w:pPr>
      <w:r>
        <w:rPr>
          <w:rFonts w:hint="eastAsia" w:ascii="宋体" w:hAnsi="宋体" w:cs="宋体-方正超大字符集"/>
          <w:b/>
          <w:szCs w:val="21"/>
        </w:rPr>
        <w:t>学院网站：</w:t>
      </w:r>
      <w:r>
        <w:rPr>
          <w:rFonts w:ascii="宋体" w:hAnsi="宋体" w:cs="宋体-方正超大字符集"/>
          <w:szCs w:val="21"/>
        </w:rPr>
        <w:t>http://www.dxalu.org.cn</w:t>
      </w:r>
    </w:p>
    <w:p>
      <w:pPr>
        <w:adjustRightInd w:val="0"/>
        <w:snapToGrid w:val="0"/>
        <w:ind w:firstLine="417" w:firstLineChars="198"/>
        <w:rPr>
          <w:rFonts w:ascii="宋体" w:cs="宋体-方正超大字符集"/>
          <w:b/>
          <w:szCs w:val="21"/>
        </w:rPr>
      </w:pPr>
      <w:r>
        <w:rPr>
          <w:rFonts w:hint="eastAsia" w:ascii="宋体" w:hAnsi="宋体" w:cs="宋体-方正超大字符集"/>
          <w:b/>
          <w:szCs w:val="21"/>
        </w:rPr>
        <w:t>电子邮箱：</w:t>
      </w:r>
      <w:r>
        <w:rPr>
          <w:rFonts w:ascii="宋体" w:hAnsi="宋体" w:cs="宋体-方正超大字符集"/>
          <w:szCs w:val="21"/>
        </w:rPr>
        <w:t>zsb513@126.com</w:t>
      </w:r>
    </w:p>
    <w:p>
      <w:pPr>
        <w:adjustRightInd w:val="0"/>
        <w:snapToGrid w:val="0"/>
        <w:ind w:firstLine="417" w:firstLineChars="198"/>
        <w:rPr>
          <w:rFonts w:ascii="宋体" w:cs="宋体-方正超大字符集"/>
          <w:szCs w:val="21"/>
        </w:rPr>
      </w:pPr>
      <w:r>
        <w:rPr>
          <w:rFonts w:hint="eastAsia" w:ascii="宋体" w:hAnsi="宋体" w:cs="宋体-方正超大字符集"/>
          <w:b/>
          <w:szCs w:val="21"/>
        </w:rPr>
        <w:t>邮政编码：</w:t>
      </w:r>
      <w:r>
        <w:rPr>
          <w:rFonts w:ascii="宋体" w:hAnsi="宋体" w:cs="宋体-方正超大字符集"/>
          <w:szCs w:val="21"/>
        </w:rPr>
        <w:t>165099</w:t>
      </w: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361" w:right="926" w:bottom="1247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宋体-方正超大字符集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separate"/>
    </w:r>
    <w:r>
      <w:rPr>
        <w:rStyle w:val="9"/>
      </w:rPr>
      <w:t>2</w:t>
    </w:r>
    <w:r>
      <w:rPr>
        <w:rStyle w:val="9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53D33"/>
    <w:rsid w:val="000012C0"/>
    <w:rsid w:val="000018ED"/>
    <w:rsid w:val="0001039E"/>
    <w:rsid w:val="00013994"/>
    <w:rsid w:val="000205A1"/>
    <w:rsid w:val="00022F0A"/>
    <w:rsid w:val="000263D6"/>
    <w:rsid w:val="00026711"/>
    <w:rsid w:val="000273FE"/>
    <w:rsid w:val="00031957"/>
    <w:rsid w:val="00037078"/>
    <w:rsid w:val="00045BE7"/>
    <w:rsid w:val="00046068"/>
    <w:rsid w:val="000947C2"/>
    <w:rsid w:val="000A7A28"/>
    <w:rsid w:val="000B3C40"/>
    <w:rsid w:val="000E494F"/>
    <w:rsid w:val="000F7F16"/>
    <w:rsid w:val="0010536E"/>
    <w:rsid w:val="00115C13"/>
    <w:rsid w:val="001221DB"/>
    <w:rsid w:val="00124757"/>
    <w:rsid w:val="0013172D"/>
    <w:rsid w:val="00150F74"/>
    <w:rsid w:val="0016339A"/>
    <w:rsid w:val="00171E2D"/>
    <w:rsid w:val="00177156"/>
    <w:rsid w:val="00180611"/>
    <w:rsid w:val="0018220F"/>
    <w:rsid w:val="00195788"/>
    <w:rsid w:val="001A6793"/>
    <w:rsid w:val="001C1A20"/>
    <w:rsid w:val="001C3842"/>
    <w:rsid w:val="001C42C7"/>
    <w:rsid w:val="001D111F"/>
    <w:rsid w:val="001F6405"/>
    <w:rsid w:val="00203E71"/>
    <w:rsid w:val="00221CC3"/>
    <w:rsid w:val="00231A8C"/>
    <w:rsid w:val="00253757"/>
    <w:rsid w:val="00264DF4"/>
    <w:rsid w:val="00290777"/>
    <w:rsid w:val="00291581"/>
    <w:rsid w:val="00293467"/>
    <w:rsid w:val="002967AE"/>
    <w:rsid w:val="002A6FAF"/>
    <w:rsid w:val="002B18EC"/>
    <w:rsid w:val="002C6346"/>
    <w:rsid w:val="002D60B5"/>
    <w:rsid w:val="002D60FC"/>
    <w:rsid w:val="002D77B2"/>
    <w:rsid w:val="002E3E28"/>
    <w:rsid w:val="002F1280"/>
    <w:rsid w:val="0030284B"/>
    <w:rsid w:val="0030383E"/>
    <w:rsid w:val="00306FBF"/>
    <w:rsid w:val="003101B4"/>
    <w:rsid w:val="00314EF3"/>
    <w:rsid w:val="003205C7"/>
    <w:rsid w:val="00351E03"/>
    <w:rsid w:val="00364A22"/>
    <w:rsid w:val="00371FD4"/>
    <w:rsid w:val="003805A3"/>
    <w:rsid w:val="003810C6"/>
    <w:rsid w:val="00386098"/>
    <w:rsid w:val="0039191F"/>
    <w:rsid w:val="003973AA"/>
    <w:rsid w:val="003A4AF2"/>
    <w:rsid w:val="003A5CC8"/>
    <w:rsid w:val="003A69FE"/>
    <w:rsid w:val="003A78BC"/>
    <w:rsid w:val="00401547"/>
    <w:rsid w:val="00413747"/>
    <w:rsid w:val="0042240B"/>
    <w:rsid w:val="00426ED5"/>
    <w:rsid w:val="004616AB"/>
    <w:rsid w:val="00471302"/>
    <w:rsid w:val="004976CC"/>
    <w:rsid w:val="00497715"/>
    <w:rsid w:val="004A621E"/>
    <w:rsid w:val="004C5AE2"/>
    <w:rsid w:val="004D04F9"/>
    <w:rsid w:val="004D73D2"/>
    <w:rsid w:val="004E6E87"/>
    <w:rsid w:val="004F7AC0"/>
    <w:rsid w:val="00500735"/>
    <w:rsid w:val="00512658"/>
    <w:rsid w:val="00520F05"/>
    <w:rsid w:val="0052499F"/>
    <w:rsid w:val="00535014"/>
    <w:rsid w:val="005357CD"/>
    <w:rsid w:val="00542106"/>
    <w:rsid w:val="0054488A"/>
    <w:rsid w:val="00553205"/>
    <w:rsid w:val="00555824"/>
    <w:rsid w:val="0055743A"/>
    <w:rsid w:val="00574BEB"/>
    <w:rsid w:val="00574F27"/>
    <w:rsid w:val="00596E9C"/>
    <w:rsid w:val="00597AC9"/>
    <w:rsid w:val="005A356D"/>
    <w:rsid w:val="005A5F3C"/>
    <w:rsid w:val="005D31A3"/>
    <w:rsid w:val="005D3321"/>
    <w:rsid w:val="005E667D"/>
    <w:rsid w:val="00613462"/>
    <w:rsid w:val="006257BB"/>
    <w:rsid w:val="00626F3E"/>
    <w:rsid w:val="00635EC1"/>
    <w:rsid w:val="0063725C"/>
    <w:rsid w:val="00643582"/>
    <w:rsid w:val="00647EC6"/>
    <w:rsid w:val="00661825"/>
    <w:rsid w:val="006709AC"/>
    <w:rsid w:val="0068123B"/>
    <w:rsid w:val="006A1B2E"/>
    <w:rsid w:val="006D276A"/>
    <w:rsid w:val="006E51AE"/>
    <w:rsid w:val="00714CEA"/>
    <w:rsid w:val="00743692"/>
    <w:rsid w:val="0074510B"/>
    <w:rsid w:val="00753260"/>
    <w:rsid w:val="00753BF9"/>
    <w:rsid w:val="00760F24"/>
    <w:rsid w:val="007644FA"/>
    <w:rsid w:val="00767175"/>
    <w:rsid w:val="00775D5F"/>
    <w:rsid w:val="0079125F"/>
    <w:rsid w:val="00793727"/>
    <w:rsid w:val="007A3F96"/>
    <w:rsid w:val="007B2DD1"/>
    <w:rsid w:val="007B4DDB"/>
    <w:rsid w:val="007C1E5C"/>
    <w:rsid w:val="007C274A"/>
    <w:rsid w:val="007D121F"/>
    <w:rsid w:val="008074EC"/>
    <w:rsid w:val="00817AD6"/>
    <w:rsid w:val="008252D0"/>
    <w:rsid w:val="00832B2D"/>
    <w:rsid w:val="00832C4B"/>
    <w:rsid w:val="00853D33"/>
    <w:rsid w:val="008649F8"/>
    <w:rsid w:val="008719A6"/>
    <w:rsid w:val="00876267"/>
    <w:rsid w:val="00890E86"/>
    <w:rsid w:val="008B5DBD"/>
    <w:rsid w:val="008D0B4A"/>
    <w:rsid w:val="008D4F86"/>
    <w:rsid w:val="008F4501"/>
    <w:rsid w:val="00905E01"/>
    <w:rsid w:val="0091010C"/>
    <w:rsid w:val="009113CD"/>
    <w:rsid w:val="00920010"/>
    <w:rsid w:val="00920629"/>
    <w:rsid w:val="00945CF7"/>
    <w:rsid w:val="0096256C"/>
    <w:rsid w:val="00963E63"/>
    <w:rsid w:val="00974623"/>
    <w:rsid w:val="009768D7"/>
    <w:rsid w:val="00982C06"/>
    <w:rsid w:val="00983360"/>
    <w:rsid w:val="009C1C3A"/>
    <w:rsid w:val="009C4795"/>
    <w:rsid w:val="009C75E9"/>
    <w:rsid w:val="00A21F20"/>
    <w:rsid w:val="00A27A11"/>
    <w:rsid w:val="00A35AF9"/>
    <w:rsid w:val="00A5287C"/>
    <w:rsid w:val="00A543E9"/>
    <w:rsid w:val="00A60134"/>
    <w:rsid w:val="00A70EEB"/>
    <w:rsid w:val="00AA5286"/>
    <w:rsid w:val="00AC1CDE"/>
    <w:rsid w:val="00AD35B6"/>
    <w:rsid w:val="00AE3E30"/>
    <w:rsid w:val="00AF5956"/>
    <w:rsid w:val="00B013CB"/>
    <w:rsid w:val="00B11080"/>
    <w:rsid w:val="00B11F4C"/>
    <w:rsid w:val="00B14F3B"/>
    <w:rsid w:val="00B231E8"/>
    <w:rsid w:val="00B37969"/>
    <w:rsid w:val="00B61A61"/>
    <w:rsid w:val="00B621D2"/>
    <w:rsid w:val="00B844D8"/>
    <w:rsid w:val="00B85F7D"/>
    <w:rsid w:val="00B92FFC"/>
    <w:rsid w:val="00BB0794"/>
    <w:rsid w:val="00BB14F3"/>
    <w:rsid w:val="00BB1B54"/>
    <w:rsid w:val="00BB4EBA"/>
    <w:rsid w:val="00BC4558"/>
    <w:rsid w:val="00BD04BA"/>
    <w:rsid w:val="00BD23C9"/>
    <w:rsid w:val="00BF6C57"/>
    <w:rsid w:val="00C0242F"/>
    <w:rsid w:val="00C1293C"/>
    <w:rsid w:val="00C2339A"/>
    <w:rsid w:val="00C445A7"/>
    <w:rsid w:val="00C53844"/>
    <w:rsid w:val="00C546A3"/>
    <w:rsid w:val="00C55799"/>
    <w:rsid w:val="00C635F1"/>
    <w:rsid w:val="00C63E75"/>
    <w:rsid w:val="00C8761F"/>
    <w:rsid w:val="00C87EB0"/>
    <w:rsid w:val="00C9383F"/>
    <w:rsid w:val="00CA0327"/>
    <w:rsid w:val="00CC08BC"/>
    <w:rsid w:val="00D14DE7"/>
    <w:rsid w:val="00D21A57"/>
    <w:rsid w:val="00D333B8"/>
    <w:rsid w:val="00D52B7B"/>
    <w:rsid w:val="00D55F36"/>
    <w:rsid w:val="00D81955"/>
    <w:rsid w:val="00D85E10"/>
    <w:rsid w:val="00DC60C6"/>
    <w:rsid w:val="00DF3D4D"/>
    <w:rsid w:val="00E04ACB"/>
    <w:rsid w:val="00E11F76"/>
    <w:rsid w:val="00E3223E"/>
    <w:rsid w:val="00E407E0"/>
    <w:rsid w:val="00E653D4"/>
    <w:rsid w:val="00E74796"/>
    <w:rsid w:val="00E919FF"/>
    <w:rsid w:val="00EA5D65"/>
    <w:rsid w:val="00EB26E5"/>
    <w:rsid w:val="00EC0850"/>
    <w:rsid w:val="00ED43FE"/>
    <w:rsid w:val="00ED6F1F"/>
    <w:rsid w:val="00EE2131"/>
    <w:rsid w:val="00EE3926"/>
    <w:rsid w:val="00EF6054"/>
    <w:rsid w:val="00F16DA5"/>
    <w:rsid w:val="00F26018"/>
    <w:rsid w:val="00F50E26"/>
    <w:rsid w:val="00F57445"/>
    <w:rsid w:val="00F66B6B"/>
    <w:rsid w:val="00F861F8"/>
    <w:rsid w:val="00FA1CB8"/>
    <w:rsid w:val="00FA3010"/>
    <w:rsid w:val="00FB756C"/>
    <w:rsid w:val="00FC1F55"/>
    <w:rsid w:val="00FC2B0B"/>
    <w:rsid w:val="00FC6149"/>
    <w:rsid w:val="00FD1760"/>
    <w:rsid w:val="00FE1E93"/>
    <w:rsid w:val="1149440B"/>
    <w:rsid w:val="19027A78"/>
    <w:rsid w:val="220D418C"/>
    <w:rsid w:val="286A655A"/>
    <w:rsid w:val="29CA3B9E"/>
    <w:rsid w:val="2AB471B8"/>
    <w:rsid w:val="3F0E13D5"/>
    <w:rsid w:val="43A479E3"/>
    <w:rsid w:val="62653B45"/>
    <w:rsid w:val="73AE6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99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qFormat/>
    <w:uiPriority w:val="99"/>
    <w:pPr>
      <w:ind w:left="100" w:leftChars="2500"/>
    </w:p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rPr>
      <w:sz w:val="24"/>
    </w:rPr>
  </w:style>
  <w:style w:type="table" w:styleId="7">
    <w:name w:val="Table Grid"/>
    <w:basedOn w:val="6"/>
    <w:qFormat/>
    <w:locked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qFormat/>
    <w:uiPriority w:val="99"/>
    <w:rPr>
      <w:rFonts w:cs="Times New Roman"/>
    </w:rPr>
  </w:style>
  <w:style w:type="character" w:customStyle="1" w:styleId="10">
    <w:name w:val="Footer Char"/>
    <w:basedOn w:val="8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11">
    <w:name w:val="Header Char"/>
    <w:basedOn w:val="8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2">
    <w:name w:val="Date Char"/>
    <w:basedOn w:val="8"/>
    <w:link w:val="2"/>
    <w:qFormat/>
    <w:locked/>
    <w:uiPriority w:val="99"/>
    <w:rPr>
      <w:rFonts w:cs="Times New Roman"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2</Pages>
  <Words>391</Words>
  <Characters>2230</Characters>
  <Lines>0</Lines>
  <Paragraphs>0</Paragraphs>
  <TotalTime>17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2019-07-05T02:43:00Z</dcterms:created>
  <dc:creator>z</dc:creator>
  <cp:lastModifiedBy>Administrator</cp:lastModifiedBy>
  <cp:lastPrinted>2020-11-06T07:42:00Z</cp:lastPrinted>
  <dcterms:modified xsi:type="dcterms:W3CDTF">2021-10-26T01:35:30Z</dcterms:modified>
  <dc:title>大兴安岭职业学院2013年招生章程</dc:title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05FC3212C53143C88AED115936FB3D5C</vt:lpwstr>
  </property>
</Properties>
</file>